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1997A" w14:textId="5112D8A7" w:rsidR="00AE11AB" w:rsidRDefault="00A378C2" w:rsidP="00A378C2">
      <w:pPr>
        <w:spacing w:after="0" w:line="360" w:lineRule="auto"/>
        <w:rPr>
          <w:rFonts w:ascii="Times New Roman" w:hAnsi="Times New Roman" w:cs="Times New Roman"/>
        </w:rPr>
      </w:pPr>
      <w:r w:rsidRPr="00A378C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B0E6997" wp14:editId="52F5A76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8A75D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B0E830C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2DDE8E3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618DAC3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228D2151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620EF526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  <w:r w:rsidR="00AE11AB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7D458D10" w:rsidR="00832EBB" w:rsidRPr="00A204BB" w:rsidRDefault="00AE11A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«ИНТЕРНЕТ-МАРКЕТИНГ»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5461ECC0" w:rsidR="009B18A2" w:rsidRDefault="0036765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10E47CE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AE11AB">
        <w:rPr>
          <w:rFonts w:ascii="Times New Roman" w:hAnsi="Times New Roman" w:cs="Times New Roman"/>
          <w:lang w:bidi="en-US"/>
        </w:rPr>
        <w:t>2</w:t>
      </w:r>
      <w:r w:rsidR="00A378C2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7A702214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F1DA7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2E9CFC46" w:rsidR="009B18A2" w:rsidRDefault="0036765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F1DA7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6C75A6E4" w:rsidR="009B18A2" w:rsidRDefault="0036765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020AE8">
          <w:rPr>
            <w:rStyle w:val="ae"/>
            <w:noProof/>
          </w:rPr>
          <w:t>Интернет маркетинг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F1DA7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1F80402B" w:rsidR="009B18A2" w:rsidRDefault="0036765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F1DA7">
          <w:rPr>
            <w:noProof/>
            <w:webHidden/>
          </w:rPr>
          <w:t>10</w:t>
        </w:r>
        <w:r w:rsidR="009B18A2">
          <w:rPr>
            <w:noProof/>
            <w:webHidden/>
          </w:rPr>
          <w:fldChar w:fldCharType="end"/>
        </w:r>
      </w:hyperlink>
    </w:p>
    <w:p w14:paraId="40B5B8DA" w14:textId="17BC719E" w:rsidR="009B18A2" w:rsidRDefault="0036765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F1DA7">
          <w:rPr>
            <w:noProof/>
            <w:webHidden/>
          </w:rPr>
          <w:t>10</w:t>
        </w:r>
        <w:r w:rsidR="009B18A2">
          <w:rPr>
            <w:noProof/>
            <w:webHidden/>
          </w:rPr>
          <w:fldChar w:fldCharType="end"/>
        </w:r>
      </w:hyperlink>
    </w:p>
    <w:p w14:paraId="16814EF3" w14:textId="66026041" w:rsidR="009B18A2" w:rsidRDefault="0036765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F1DA7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79BE8C40" w14:textId="3DD5684D" w:rsidR="009B18A2" w:rsidRDefault="0036765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F1DA7">
          <w:rPr>
            <w:noProof/>
            <w:webHidden/>
          </w:rPr>
          <w:t>14</w:t>
        </w:r>
        <w:r w:rsidR="009B18A2">
          <w:rPr>
            <w:noProof/>
            <w:webHidden/>
          </w:rPr>
          <w:fldChar w:fldCharType="end"/>
        </w:r>
      </w:hyperlink>
    </w:p>
    <w:p w14:paraId="1E177A7F" w14:textId="1719C0DC" w:rsidR="009B18A2" w:rsidRDefault="0036765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F1DA7">
          <w:rPr>
            <w:noProof/>
            <w:webHidden/>
          </w:rPr>
          <w:t>15</w:t>
        </w:r>
        <w:r w:rsidR="009B18A2">
          <w:rPr>
            <w:noProof/>
            <w:webHidden/>
          </w:rPr>
          <w:fldChar w:fldCharType="end"/>
        </w:r>
      </w:hyperlink>
    </w:p>
    <w:p w14:paraId="05C32EBC" w14:textId="53270D49" w:rsidR="009B18A2" w:rsidRDefault="0036765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BF1DA7">
          <w:rPr>
            <w:noProof/>
            <w:webHidden/>
          </w:rPr>
          <w:t>15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E36E955" w14:textId="1E6FA15F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tbl>
      <w:tblPr>
        <w:tblStyle w:val="StGen1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737D88" w14:paraId="3A9F6AAE" w14:textId="77777777" w:rsidTr="00020AE8">
        <w:tc>
          <w:tcPr>
            <w:tcW w:w="673" w:type="dxa"/>
          </w:tcPr>
          <w:p w14:paraId="57889AA0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6C0201EE" w14:textId="7445D91F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7029" w:type="dxa"/>
          </w:tcPr>
          <w:p w14:paraId="2410FBFA" w14:textId="6FD0628C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Интернет-маркетинг</w:t>
            </w:r>
          </w:p>
        </w:tc>
      </w:tr>
      <w:tr w:rsidR="00737D88" w14:paraId="42CA12A9" w14:textId="77777777" w:rsidTr="00020AE8">
        <w:tc>
          <w:tcPr>
            <w:tcW w:w="673" w:type="dxa"/>
          </w:tcPr>
          <w:p w14:paraId="10CC6C48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1FDA0921" w14:textId="44C8E7AE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SMM</w:t>
            </w:r>
          </w:p>
        </w:tc>
        <w:tc>
          <w:tcPr>
            <w:tcW w:w="7029" w:type="dxa"/>
          </w:tcPr>
          <w:p w14:paraId="0A9CF75B" w14:textId="6162846B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Маркетинг в социальных сетях</w:t>
            </w:r>
          </w:p>
        </w:tc>
      </w:tr>
      <w:tr w:rsidR="00737D88" w14:paraId="25675D15" w14:textId="77777777" w:rsidTr="00020AE8">
        <w:tc>
          <w:tcPr>
            <w:tcW w:w="673" w:type="dxa"/>
          </w:tcPr>
          <w:p w14:paraId="5D3AA480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2DC5AACD" w14:textId="0C276093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УТП</w:t>
            </w:r>
          </w:p>
        </w:tc>
        <w:tc>
          <w:tcPr>
            <w:tcW w:w="7029" w:type="dxa"/>
          </w:tcPr>
          <w:p w14:paraId="13364E52" w14:textId="001A8A31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Уникальное торговое предложение</w:t>
            </w:r>
          </w:p>
        </w:tc>
      </w:tr>
      <w:tr w:rsidR="00A53D9D" w14:paraId="48AB1C85" w14:textId="77777777" w:rsidTr="00020AE8">
        <w:tc>
          <w:tcPr>
            <w:tcW w:w="673" w:type="dxa"/>
          </w:tcPr>
          <w:p w14:paraId="3FC9FA08" w14:textId="664585FA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4289ED5B" w14:textId="2845ADB2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 w:rsidRPr="00A53D9D">
              <w:rPr>
                <w:i/>
                <w:sz w:val="28"/>
                <w:szCs w:val="28"/>
              </w:rPr>
              <w:t xml:space="preserve">KPI </w:t>
            </w:r>
          </w:p>
        </w:tc>
        <w:tc>
          <w:tcPr>
            <w:tcW w:w="7029" w:type="dxa"/>
          </w:tcPr>
          <w:p w14:paraId="40639DD7" w14:textId="0BCA834D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Pr="00A53D9D">
              <w:rPr>
                <w:i/>
                <w:sz w:val="28"/>
                <w:szCs w:val="28"/>
              </w:rPr>
              <w:t>лючевые показатели эффективности</w:t>
            </w:r>
          </w:p>
        </w:tc>
      </w:tr>
      <w:tr w:rsidR="00A53D9D" w14:paraId="57DA98E4" w14:textId="77777777" w:rsidTr="00020AE8">
        <w:tc>
          <w:tcPr>
            <w:tcW w:w="673" w:type="dxa"/>
          </w:tcPr>
          <w:p w14:paraId="457531B3" w14:textId="1431B5C5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3C007286" w14:textId="3CC55AAD" w:rsidR="00A53D9D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 w:rsidRPr="00A53D9D">
              <w:rPr>
                <w:i/>
                <w:sz w:val="28"/>
                <w:szCs w:val="28"/>
              </w:rPr>
              <w:t>SEO</w:t>
            </w:r>
          </w:p>
        </w:tc>
        <w:tc>
          <w:tcPr>
            <w:tcW w:w="7029" w:type="dxa"/>
          </w:tcPr>
          <w:p w14:paraId="783657FE" w14:textId="29DC682A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Поисковая оптимизация</w:t>
            </w:r>
          </w:p>
        </w:tc>
      </w:tr>
      <w:tr w:rsidR="00A53D9D" w14:paraId="0B8B5D94" w14:textId="77777777" w:rsidTr="00020AE8">
        <w:tc>
          <w:tcPr>
            <w:tcW w:w="673" w:type="dxa"/>
          </w:tcPr>
          <w:p w14:paraId="0DCCA95D" w14:textId="5217135E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7F8A0782" w14:textId="39E351B1" w:rsidR="00A53D9D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</w:t>
            </w:r>
          </w:p>
        </w:tc>
        <w:tc>
          <w:tcPr>
            <w:tcW w:w="7029" w:type="dxa"/>
          </w:tcPr>
          <w:p w14:paraId="6D4F054D" w14:textId="038D7EC9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Призыв к действию</w:t>
            </w:r>
          </w:p>
        </w:tc>
      </w:tr>
      <w:tr w:rsidR="00A53D9D" w14:paraId="70623CA8" w14:textId="77777777" w:rsidTr="00020AE8">
        <w:tc>
          <w:tcPr>
            <w:tcW w:w="673" w:type="dxa"/>
          </w:tcPr>
          <w:p w14:paraId="5A322B5B" w14:textId="5A4EDDF4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51B61647" w14:textId="29DB86E0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</w:t>
            </w:r>
          </w:p>
        </w:tc>
        <w:tc>
          <w:tcPr>
            <w:tcW w:w="7029" w:type="dxa"/>
          </w:tcPr>
          <w:p w14:paraId="518181ED" w14:textId="01D2BB61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Целевая аудитория</w:t>
            </w:r>
          </w:p>
        </w:tc>
      </w:tr>
      <w:tr w:rsidR="00737D88" w14:paraId="0AFDDA8E" w14:textId="77777777" w:rsidTr="00020AE8">
        <w:tc>
          <w:tcPr>
            <w:tcW w:w="673" w:type="dxa"/>
          </w:tcPr>
          <w:p w14:paraId="096AB870" w14:textId="59CB9A59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5E3250F1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ТрК</w:t>
            </w:r>
          </w:p>
        </w:tc>
        <w:tc>
          <w:tcPr>
            <w:tcW w:w="7029" w:type="dxa"/>
          </w:tcPr>
          <w:p w14:paraId="4B58067E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737D88" w14:paraId="487519B5" w14:textId="77777777" w:rsidTr="00020AE8">
        <w:tc>
          <w:tcPr>
            <w:tcW w:w="673" w:type="dxa"/>
          </w:tcPr>
          <w:p w14:paraId="47B637B4" w14:textId="11BFDB91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14:paraId="3483BE1F" w14:textId="586C24DF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ОВВ</w:t>
            </w:r>
          </w:p>
        </w:tc>
        <w:tc>
          <w:tcPr>
            <w:tcW w:w="7029" w:type="dxa"/>
          </w:tcPr>
          <w:p w14:paraId="3D217AE9" w14:textId="590EE3D5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Общее визуальное восприятие</w:t>
            </w:r>
          </w:p>
        </w:tc>
      </w:tr>
      <w:tr w:rsidR="00737D88" w14:paraId="2D15C7F7" w14:textId="77777777" w:rsidTr="00020AE8">
        <w:tc>
          <w:tcPr>
            <w:tcW w:w="673" w:type="dxa"/>
          </w:tcPr>
          <w:p w14:paraId="0AE347AB" w14:textId="5EF1B502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14:paraId="4C412AF6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14:paraId="7B19EFE9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737D88" w14:paraId="3380CF14" w14:textId="77777777" w:rsidTr="00020AE8">
        <w:tc>
          <w:tcPr>
            <w:tcW w:w="673" w:type="dxa"/>
          </w:tcPr>
          <w:p w14:paraId="37A50E32" w14:textId="7BEAF540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14:paraId="521E683C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739197FE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737D88" w14:paraId="57798A31" w14:textId="77777777" w:rsidTr="00020AE8">
        <w:tc>
          <w:tcPr>
            <w:tcW w:w="673" w:type="dxa"/>
          </w:tcPr>
          <w:p w14:paraId="6F950A01" w14:textId="3F3974D4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7" w:type="dxa"/>
          </w:tcPr>
          <w:p w14:paraId="43ADBD1A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7B3C6848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737D88" w14:paraId="421A7CBC" w14:textId="77777777" w:rsidTr="00020AE8">
        <w:tc>
          <w:tcPr>
            <w:tcW w:w="673" w:type="dxa"/>
          </w:tcPr>
          <w:p w14:paraId="6CB75356" w14:textId="4632D94C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7" w:type="dxa"/>
          </w:tcPr>
          <w:p w14:paraId="50050CC4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6CC7A539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9405647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01E6B" w:rsidRPr="00B01E6B">
        <w:rPr>
          <w:rFonts w:ascii="Times New Roman" w:hAnsi="Times New Roman" w:cs="Times New Roman"/>
          <w:b/>
          <w:bCs/>
          <w:sz w:val="28"/>
          <w:szCs w:val="28"/>
        </w:rPr>
        <w:t>Интернет-маркетинг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15DA9D1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B01E6B">
        <w:rPr>
          <w:rFonts w:ascii="Times New Roman" w:hAnsi="Times New Roman"/>
          <w:color w:val="000000"/>
          <w:sz w:val="24"/>
          <w:lang w:val="ru-RU"/>
        </w:rPr>
        <w:t>Интернет-маркетинг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020AE8" w14:paraId="690948A9" w14:textId="77777777" w:rsidTr="00020AE8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0AE8" w:rsidRDefault="000244DA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0AE8" w:rsidRDefault="000244DA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0AE8" w:rsidRDefault="000244DA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020AE8" w14:paraId="36656CAB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0AE8" w:rsidRDefault="00764773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51B28D0" w:rsidR="00764773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работы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3C18271F" w:rsidR="00764773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42C09" w:rsidRPr="00020AE8" w14:paraId="25C92B09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EF2C79A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E0661E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безопасной работы на электрооборудовании, установленном на рабочем месте</w:t>
            </w:r>
          </w:p>
          <w:p w14:paraId="35BA5A73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Назначение и особенности технической эксплуатации оборудования, предоставленного для работы</w:t>
            </w:r>
          </w:p>
          <w:p w14:paraId="492CC78B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принципы действия противоаварийной и противопожарной защиты </w:t>
            </w:r>
          </w:p>
          <w:p w14:paraId="55EFEA33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возникновении аварийной ситуации </w:t>
            </w:r>
          </w:p>
          <w:p w14:paraId="6FF88409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поддержания рабочего места в надлежащем состоянии </w:t>
            </w:r>
          </w:p>
          <w:p w14:paraId="2BEE417C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</w:p>
          <w:p w14:paraId="6E530165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Принципы и методы организации труда в команде</w:t>
            </w:r>
          </w:p>
          <w:p w14:paraId="0169673F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 управления командой на рабочем </w:t>
            </w:r>
            <w:r w:rsidRPr="0002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месте </w:t>
            </w:r>
          </w:p>
          <w:p w14:paraId="43AA9090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безопасной работы в сети Интернет </w:t>
            </w:r>
          </w:p>
          <w:p w14:paraId="0178B265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вежливой коммуникации при взаимодействии в сети Интернет </w:t>
            </w:r>
          </w:p>
          <w:p w14:paraId="0E606F9D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охраны здоровья при работе с компьютером </w:t>
            </w:r>
          </w:p>
          <w:p w14:paraId="24A67FE1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Общие правила защиты персональных данных и конфиденциальности информации</w:t>
            </w:r>
          </w:p>
          <w:p w14:paraId="22848F4D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Основы командной работы и делегирования</w:t>
            </w:r>
          </w:p>
          <w:p w14:paraId="10DDAF26" w14:textId="527A53C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делового общения в письменной и устной форме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020AE8" w14:paraId="01887489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5CB67B9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56DD60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Подключать, запускать и завершать работу со стационарным или переносным компьютером на рабочем месте </w:t>
            </w:r>
          </w:p>
          <w:p w14:paraId="0A779C6C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Устранять первичные проблемы, связанные с электронным оборудованием</w:t>
            </w:r>
          </w:p>
          <w:p w14:paraId="29B887F8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рабочее место в надлежащем состоянии: безопасном и аккуратном </w:t>
            </w:r>
          </w:p>
          <w:p w14:paraId="2744F96E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по охране труда  </w:t>
            </w:r>
          </w:p>
          <w:p w14:paraId="1C21BD9D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для максимально эффективной работы </w:t>
            </w:r>
          </w:p>
          <w:p w14:paraId="557402E8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использовать время </w:t>
            </w:r>
          </w:p>
          <w:p w14:paraId="5EA05413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системный подход к процессу </w:t>
            </w:r>
          </w:p>
          <w:p w14:paraId="47C635EB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пользоваться ПК  </w:t>
            </w:r>
          </w:p>
          <w:p w14:paraId="1A0F4A1F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Работать с программами для отправки-получения электронной корреспонденции</w:t>
            </w:r>
          </w:p>
          <w:p w14:paraId="579B4141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пятиминутные комплексы физических упражнений через каждые два часа непрерывной работы с компьютером  </w:t>
            </w:r>
          </w:p>
          <w:p w14:paraId="7A234B14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Безопасно подключать и извлекать дополнительное оборудование: внешние жесткие диски и прочие носители информации</w:t>
            </w:r>
          </w:p>
          <w:p w14:paraId="370430C2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Эффективно работать со стандартным пакетом основных офисных программ пакета Microsoft Office, интернет-браузерами (не менее трех)</w:t>
            </w:r>
          </w:p>
          <w:p w14:paraId="36CF4AEF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Искать информацию и необходимые для работы сервисы в современных поисковых системах </w:t>
            </w:r>
          </w:p>
          <w:p w14:paraId="497A7F1A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Пользоваться мессенджерами и электронной почтой для постановки задач и обсуждения текущей работы в команде</w:t>
            </w:r>
          </w:p>
          <w:p w14:paraId="2C196CFE" w14:textId="7B6ADED6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как собственные профессиональные навыки и умения, так и других участников команды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020AE8" w14:paraId="79B2A6B6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55B0D05F" w14:textId="7E362A5D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документацией и межличностные отношения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35BEC1F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C42C09" w:rsidRPr="00020AE8" w14:paraId="23A3F9EF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352713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84A451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48A08128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законодательство Российской Федерации </w:t>
            </w:r>
          </w:p>
          <w:p w14:paraId="5087AB2E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Законодательство Российской Федерации о персональных </w:t>
            </w: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</w:t>
            </w:r>
          </w:p>
          <w:p w14:paraId="7FBEE0C5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делопроизводства и документационного обеспечения управления </w:t>
            </w:r>
          </w:p>
          <w:p w14:paraId="58C1D655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логики, психологии и риторики </w:t>
            </w:r>
          </w:p>
          <w:p w14:paraId="1F4862F5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 при работе с заказчиками и коллегами</w:t>
            </w:r>
          </w:p>
          <w:p w14:paraId="37090FF2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выстраивания продуктивных рабочих отношений</w:t>
            </w:r>
          </w:p>
          <w:p w14:paraId="71B58091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Важность оперативного разрешения недопониманий и конфликтных ситуаций. </w:t>
            </w:r>
          </w:p>
          <w:p w14:paraId="1D28C5D7" w14:textId="5B1229B8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границы своих полномочий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3A9CF3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020AE8" w14:paraId="14C91796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577891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0DA4B1D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51803595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информационно-аналитические справки</w:t>
            </w:r>
          </w:p>
          <w:p w14:paraId="3E9468C0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маркетинговые стратегии</w:t>
            </w:r>
          </w:p>
          <w:p w14:paraId="5E8367F6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SMM-стратегии </w:t>
            </w:r>
          </w:p>
          <w:p w14:paraId="72383CE1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контент-планы</w:t>
            </w:r>
          </w:p>
          <w:p w14:paraId="72846EE2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тексты для социальных сетей</w:t>
            </w:r>
          </w:p>
          <w:p w14:paraId="5D9ECAB6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тексты для сайтов, лендингов, презентаций</w:t>
            </w:r>
          </w:p>
          <w:p w14:paraId="2FD396A3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виды текстов</w:t>
            </w:r>
          </w:p>
          <w:p w14:paraId="6346C1FB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отчетные документы</w:t>
            </w:r>
          </w:p>
          <w:p w14:paraId="2C8CA110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Грамотно и логично писать </w:t>
            </w:r>
          </w:p>
          <w:p w14:paraId="2A0BA55A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 и логично изъяснять свои мысли устно</w:t>
            </w:r>
          </w:p>
          <w:p w14:paraId="4CB8FBD0" w14:textId="1BD32C90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 планировать свою работу, оценивать сроки и ресурсы, продумывать алгоритм действий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A129AF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020AE8" w14:paraId="5134301B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8ED65A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процессов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81C4FA1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42C09" w:rsidRPr="00020AE8" w14:paraId="609BA7CA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AF42BD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438772D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540CD6B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ключевой терминологии для профессиональной коммуникации по всем каналам привлечения трафика</w:t>
            </w:r>
          </w:p>
          <w:p w14:paraId="62155411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Отличия типов площадок для привлечения трафика в сети Интернет</w:t>
            </w:r>
          </w:p>
          <w:p w14:paraId="6746F3FA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и отличия всех каналов интернет-маркетинга</w:t>
            </w:r>
          </w:p>
          <w:p w14:paraId="280ABBED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Перечень (количество и названия) рекламных механизмов показа аудитории рекламных сообщений в сети Интернет</w:t>
            </w:r>
          </w:p>
          <w:p w14:paraId="3ED84179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план документа аудита интернет-маркетинга организации</w:t>
            </w:r>
          </w:p>
          <w:p w14:paraId="095498A6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Структуру подразделения интернет-маркетинга в организации</w:t>
            </w:r>
          </w:p>
          <w:p w14:paraId="0D70DC0B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поисковых систем </w:t>
            </w:r>
          </w:p>
          <w:p w14:paraId="3DB64D44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Работу социальных сетей</w:t>
            </w:r>
          </w:p>
          <w:p w14:paraId="30A058ED" w14:textId="15BEF72F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бюджета на продвижение в интернете между различными каналами продвижения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805723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020AE8" w14:paraId="2C0E80E9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CBF2B3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330CC7E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221E6AD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Грамотно использовать в своей работе термины и определения интернет-маркетинга</w:t>
            </w:r>
          </w:p>
          <w:p w14:paraId="599B39B6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Объяснить сложные технические понятия лицам без специальной подготовки, либо менее компетентным</w:t>
            </w:r>
          </w:p>
          <w:p w14:paraId="3301E42B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Оценить собственные компетенции интернет-маркетолога по блокам</w:t>
            </w:r>
          </w:p>
          <w:p w14:paraId="6A9B126C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Определить модель оплаты привлечения трафика в сети Интернет</w:t>
            </w:r>
          </w:p>
          <w:p w14:paraId="5A1E9A0A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Составить структуру документа интернет-маркетингового аудита сайта</w:t>
            </w:r>
          </w:p>
          <w:p w14:paraId="6308658C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Описать компетенции сотрудников подразделения интернет-маркетинга организации</w:t>
            </w:r>
          </w:p>
          <w:p w14:paraId="542C859F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конкурентов по сайтам и страницам в социальных сетях</w:t>
            </w:r>
          </w:p>
          <w:p w14:paraId="572A6F4E" w14:textId="4B0F15D4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Составлять аналитический отчет по анализу конкурентной среды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FCD89C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1A753297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501B0A8C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 в области статистики и аналитики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53255968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020AE8" w14:paraId="53F25F21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E385E0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E1F63BE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542661D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определения, используемые в веб-аналитике</w:t>
            </w:r>
          </w:p>
          <w:p w14:paraId="2F542434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Структуру и особенности основных систем веб-аналитики (не менее 2х), включая дополнительные сервисы для отслеживания тегов на сайте (не менее 1)</w:t>
            </w:r>
          </w:p>
          <w:p w14:paraId="49FDA52C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создания и установки счётчика веб-аналитики на сайт</w:t>
            </w:r>
          </w:p>
          <w:p w14:paraId="22B6715D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создания и установки целей на сайте, включая тип цели Событие, а также определение простых, составных и умных целей</w:t>
            </w:r>
          </w:p>
          <w:p w14:paraId="4C27B13C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Отличие каналов интернет-маркетинга от каналов и источников трафика в веб-аналитике</w:t>
            </w:r>
          </w:p>
          <w:p w14:paraId="29C72A55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Основные метрики для оценки эффективности сайта с точки зрения интернет-маркетинга</w:t>
            </w:r>
          </w:p>
          <w:p w14:paraId="58AFC90F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и особенности статистик сообществ в социальных сетях (не менее 3х социальных сетей) </w:t>
            </w:r>
          </w:p>
          <w:p w14:paraId="6AC1178B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Возможности анализа сайта с точки зрения их видимости для поисковых систем и поисковой оптимизации</w:t>
            </w:r>
          </w:p>
          <w:p w14:paraId="0CB11A33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Статистические возможности сервисов рассылок</w:t>
            </w:r>
          </w:p>
          <w:p w14:paraId="4C93D77D" w14:textId="0146BCD2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Возможности различных сервисов для анализа сайтов и сообществ в социальных сетях конкурентов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BEACA7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5D828661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A794C0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8C34D1A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7719717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Создать счётчики основных систем веб-аналитики (не менее 2х) и передать для размещения на сайт или самостоятельно разместить их на сайте с помощью дополнительных сервисов</w:t>
            </w:r>
          </w:p>
          <w:p w14:paraId="6BBE337B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Проверить размещение счётчиков веб-аналитики на сайте и корректность сбора данных</w:t>
            </w:r>
          </w:p>
          <w:p w14:paraId="7AC9E5A0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доступ к счётчику на сайте другим лицам </w:t>
            </w:r>
            <w:r w:rsidRPr="0002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просмотр и редактирование</w:t>
            </w:r>
          </w:p>
          <w:p w14:paraId="2E7B135A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Установить самостоятельно простые и составные цели на сайте, связанные с загрузкой страниц</w:t>
            </w:r>
          </w:p>
          <w:p w14:paraId="42A230A6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Составить бриф для разработчиков по установке целей на сайт типа Событие</w:t>
            </w:r>
          </w:p>
          <w:p w14:paraId="633118AF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анализ источников трафика и конверсий на сайте с помощью основных систем веб-аналитики (не менее 2х)</w:t>
            </w:r>
          </w:p>
          <w:p w14:paraId="6D8CDD3E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анализ многоканальных конверсий с помощью инструментов одной из основных систем веб-аналитики</w:t>
            </w:r>
          </w:p>
          <w:p w14:paraId="50109466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аналитический отчёт за любой период по веб-аналитике сайта</w:t>
            </w:r>
          </w:p>
          <w:p w14:paraId="2719F714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аналитический отчёт за любой период по статистике сообщества не менее чем 2х социальных  сетях</w:t>
            </w:r>
          </w:p>
          <w:p w14:paraId="2A2894EE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экспресс-анализ видимости сайта для поисковых систем и поисковой оптимизации с помощью любого специализированного сервиса, включая выводы и рекомендации</w:t>
            </w:r>
          </w:p>
          <w:p w14:paraId="59023715" w14:textId="71E6400E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Сравнивать показатели приведённый вовлечённости (на 1 пост при 1000 подписчиках) со страницами конкурентов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07F659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06C23AF4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55F8A166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 по разработке рекламных модулей, е-mail-рассылок, лендингов, УТП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684F7BB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020AE8" w14:paraId="0CD49E5B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012813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3489B0A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3708E53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определения и сегментации целевой аудитории</w:t>
            </w:r>
          </w:p>
          <w:p w14:paraId="1010C8C4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и правила копирайтинга</w:t>
            </w:r>
          </w:p>
          <w:p w14:paraId="6EF2CD09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и правила дизайна и верстки</w:t>
            </w:r>
          </w:p>
          <w:p w14:paraId="73B0B732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разработки и поддержки сайтов/лендингов</w:t>
            </w:r>
          </w:p>
          <w:p w14:paraId="5D70ECC7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Принципиальные отличия лендигов от сайтов</w:t>
            </w:r>
          </w:p>
          <w:p w14:paraId="5038729F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для автоматизации рассылок</w:t>
            </w:r>
          </w:p>
          <w:p w14:paraId="20921FEC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Сервисы для создания </w:t>
            </w:r>
          </w:p>
          <w:p w14:paraId="20DF5244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бюджетирования маркетинговой деятельности</w:t>
            </w:r>
          </w:p>
          <w:p w14:paraId="3263B0A7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лендингов</w:t>
            </w:r>
          </w:p>
          <w:p w14:paraId="357CC81E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УТП </w:t>
            </w:r>
          </w:p>
          <w:p w14:paraId="226B21DE" w14:textId="0F15EB63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разрабатывается УТП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FF07A3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1AE75A88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4D15A3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678EE94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8655AD7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Сегментировать целевую аудитория для разных задач и продуктов</w:t>
            </w:r>
          </w:p>
          <w:p w14:paraId="335AB0FD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выбор целевой аудитории</w:t>
            </w:r>
          </w:p>
          <w:p w14:paraId="3944AD4E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тексты и рекламные слоганы</w:t>
            </w:r>
          </w:p>
          <w:p w14:paraId="1AB9698C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 для лендингов</w:t>
            </w:r>
          </w:p>
          <w:p w14:paraId="5612DC07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бесплатными сервисами создания лендингов </w:t>
            </w:r>
          </w:p>
          <w:p w14:paraId="2C8FCCEA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УТП для определенных задач</w:t>
            </w:r>
          </w:p>
          <w:p w14:paraId="23B4F4B7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сервисами рассылок</w:t>
            </w:r>
          </w:p>
          <w:p w14:paraId="701CE3CC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Рассчитать бюджет на создание лендинга</w:t>
            </w:r>
          </w:p>
          <w:p w14:paraId="7D43FC35" w14:textId="1F5C08B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ТЗ на создание лендинга для сторонних специалистов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2F6FF8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65513C28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5C9EFC79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462DBF0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 по привлечению трафика на площадки и конверсии его в целевые действия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4F2437BC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020AE8" w14:paraId="1AC717E6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63170F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6C26CC2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BD32BFC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KPI (ключевые показатели эффективности) каждого канала интернет-маркетинга</w:t>
            </w:r>
          </w:p>
          <w:p w14:paraId="6F4B56C2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каждого канала интернет-маркетинга с точки зрения скорости запуска, получения первых результатов и необходимых бюджетов </w:t>
            </w:r>
          </w:p>
          <w:p w14:paraId="384C4631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Какие доступы к каким сервисам должны быть у интернет-маркетолога, чтобы контролировать работу исполнителей по всем каналам интернет-маркетинга</w:t>
            </w:r>
          </w:p>
          <w:p w14:paraId="612D8710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Этапы запуска контекстно-медийной рекламы</w:t>
            </w:r>
          </w:p>
          <w:p w14:paraId="2AA352AC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Основные ошибки, допускаемые в контекстно-медийной рекламе и как их избежать</w:t>
            </w:r>
          </w:p>
          <w:p w14:paraId="56A74C80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Работы по внутренней и внешней оптимизации сайта</w:t>
            </w:r>
          </w:p>
          <w:p w14:paraId="6B2EB74B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потребления контента в социальных сетях (не менее трех социальных сетей) </w:t>
            </w:r>
          </w:p>
          <w:p w14:paraId="7A3AAE8E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Правила написания постов в социальных сетях, включая вирусные форматы и механики</w:t>
            </w:r>
          </w:p>
          <w:p w14:paraId="38477699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Инструменты привлечения живых целевых подписчиков в личные аккаунты и сообщества</w:t>
            </w:r>
          </w:p>
          <w:p w14:paraId="289D8C8C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Алгоритм реакции на упоминания в социальных сетях</w:t>
            </w:r>
          </w:p>
          <w:p w14:paraId="3F259CD8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Рекламные инструменты социальных сетей, включая особенности рекламных кабинетов основных социальных сетей (не менее двух)</w:t>
            </w:r>
          </w:p>
          <w:p w14:paraId="20FED6F9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Правила работы с рассылками, включая создание цепочек писем и тригерные рассылки</w:t>
            </w:r>
          </w:p>
          <w:p w14:paraId="6B89D364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Структуру продающего письма для рассылки</w:t>
            </w:r>
          </w:p>
          <w:p w14:paraId="217F815E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партнёрскими площадками: риски, возможности и бюджетирование</w:t>
            </w:r>
          </w:p>
          <w:p w14:paraId="3392A520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медийными агентствами: риски, возможности и бюджетирование</w:t>
            </w:r>
          </w:p>
          <w:p w14:paraId="1BD59C63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SMM</w:t>
            </w:r>
          </w:p>
          <w:p w14:paraId="6CDD3AAF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SEO</w:t>
            </w:r>
          </w:p>
          <w:p w14:paraId="7E2138AB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Контекстно-медийной рекламе</w:t>
            </w:r>
          </w:p>
          <w:p w14:paraId="5B87E3F1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Медийной рекламе</w:t>
            </w:r>
          </w:p>
          <w:p w14:paraId="07407D14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Рассылкам</w:t>
            </w:r>
          </w:p>
          <w:p w14:paraId="500B2AA7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Партнёрским сетям</w:t>
            </w:r>
          </w:p>
          <w:p w14:paraId="57701FF5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Термины: целевая аудитория, сегменты целевой аудитории, персонаж (типичный пользователь), клиентский опыт и пользовательский опыт, управление клиентским опытом, пользовательского сценария</w:t>
            </w:r>
          </w:p>
          <w:p w14:paraId="0386EB4D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правила юзабилити сайта</w:t>
            </w:r>
          </w:p>
          <w:p w14:paraId="69FD8EA9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Базовые правила UXD сайта</w:t>
            </w:r>
          </w:p>
          <w:p w14:paraId="3F56D13F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Стандартные ошибки, приводящие к прерываниям пользовательских сценариев и усложняющие достижение конверсий на сайте</w:t>
            </w:r>
          </w:p>
          <w:p w14:paraId="00A62E4A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Основы QA-тестирования и порядок анализа сайта</w:t>
            </w:r>
          </w:p>
          <w:p w14:paraId="7E785B09" w14:textId="024A7C8B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Стандартную структуру посадочной страницы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495823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29A6F769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D466CA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12E449E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0B455B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Прогнозировать бюджет на контекстно-медийную рекламу</w:t>
            </w:r>
          </w:p>
          <w:p w14:paraId="26707386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Самостоятельно запустить контекстно-медийную рекламу, состоящую минимум из 2-х групп запросов и включающую минус-слова</w:t>
            </w:r>
          </w:p>
          <w:p w14:paraId="430CAFC0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Составить первый вариант семантического ядра сайта</w:t>
            </w:r>
          </w:p>
          <w:p w14:paraId="58BF2AF2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анализ тестовой рассылки, включая выводы и рекомендации</w:t>
            </w:r>
          </w:p>
          <w:p w14:paraId="38DF69B8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Определять частоту запросов с помощью сервиса анализа показов рекламных объявлений</w:t>
            </w:r>
          </w:p>
          <w:p w14:paraId="6DE78F95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Составить контент-план на 2 недели для сообщества в социальных сетях (не менее трех социальных сетей)</w:t>
            </w:r>
          </w:p>
          <w:p w14:paraId="677C3BDD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Написать пост для трех социальных сетей контент-плану (на выбор)</w:t>
            </w:r>
          </w:p>
          <w:p w14:paraId="24118D7D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Продвинуть пост в трех социальных сетях, показать все возможности для продвижения поста</w:t>
            </w:r>
          </w:p>
          <w:p w14:paraId="506DC615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Создать и запустить рекламную кампанию на сайт в трех социальных сетях, состоящую минимум из 2-х групп объявлений, отличающихся аудиторией и более, чем 3-х объявлений внутри группы, отличающихся креативом</w:t>
            </w:r>
          </w:p>
          <w:p w14:paraId="1E54ED05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Запустить рассылку по предоставленной базе, ориентированную на наилучшие Open Rate и Click Rate</w:t>
            </w:r>
          </w:p>
          <w:p w14:paraId="3B15A70B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выгодный для организации канал интернет-маркетинга, используя данные веб-аналитики и расчёты по количеству и стоимости посетителей по каждому источнику трафика</w:t>
            </w:r>
          </w:p>
          <w:p w14:paraId="48B61CC0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процедуру отбора исполнителей на выполнение работ в сфере интернет-маркетинга</w:t>
            </w:r>
          </w:p>
          <w:p w14:paraId="0D79BDBB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Оценить на полноту и достоверность отчёты исполнителей по каждому каналу интернет-маркетинга</w:t>
            </w:r>
          </w:p>
          <w:p w14:paraId="12706975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Составить требования к CRM</w:t>
            </w:r>
          </w:p>
          <w:p w14:paraId="7D8A5BA8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Указать место размещения CTA на сайте</w:t>
            </w:r>
          </w:p>
          <w:p w14:paraId="3FEB380A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анализ сайта с помощью инструментов вебвизора одной из основных систем веб-аналитики</w:t>
            </w:r>
          </w:p>
          <w:p w14:paraId="5D782D5F" w14:textId="3DD1A2C9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UXD-анализ сайта, включая выводы и рекомендации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1751E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84"/>
        <w:gridCol w:w="1084"/>
        <w:gridCol w:w="1084"/>
        <w:gridCol w:w="1084"/>
        <w:gridCol w:w="1090"/>
        <w:gridCol w:w="2052"/>
      </w:tblGrid>
      <w:tr w:rsidR="004E785E" w:rsidRPr="00613219" w14:paraId="0A2AADAC" w14:textId="77777777" w:rsidTr="00BF1DA7">
        <w:trPr>
          <w:trHeight w:val="1538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544924" w:rsidRPr="00613219" w14:paraId="6EDBED15" w14:textId="77777777" w:rsidTr="00BF1DA7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22554985" w14:textId="0EDAD76E" w:rsidR="00544924" w:rsidRPr="00613219" w:rsidRDefault="0054492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3CF24956" w14:textId="77777777" w:rsidR="00544924" w:rsidRPr="00613219" w:rsidRDefault="0054492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00B050"/>
            <w:vAlign w:val="center"/>
          </w:tcPr>
          <w:p w14:paraId="35F42FCD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73DA90DA" w14:textId="11265A4A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22F4030B" w14:textId="447655FE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06257C9D" w14:textId="6349D29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52" w:type="pct"/>
            <w:shd w:val="clear" w:color="auto" w:fill="00B050"/>
            <w:vAlign w:val="center"/>
          </w:tcPr>
          <w:p w14:paraId="4554F0D0" w14:textId="77777777" w:rsidR="00544924" w:rsidRPr="00613219" w:rsidRDefault="00544924" w:rsidP="0054492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14:paraId="5D19332A" w14:textId="66A74403" w:rsidR="00544924" w:rsidRPr="00613219" w:rsidRDefault="00544924" w:rsidP="0054492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041" w:type="pct"/>
            <w:shd w:val="clear" w:color="auto" w:fill="00B050"/>
            <w:vAlign w:val="center"/>
          </w:tcPr>
          <w:p w14:paraId="089247DF" w14:textId="77777777" w:rsidR="00544924" w:rsidRPr="00613219" w:rsidRDefault="0054492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44924" w:rsidRPr="00613219" w14:paraId="61D77BE1" w14:textId="77777777" w:rsidTr="00BF1DA7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232BE1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E5703EC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0" w:type="pct"/>
            <w:vAlign w:val="center"/>
          </w:tcPr>
          <w:p w14:paraId="3B3E3C84" w14:textId="678FB84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vAlign w:val="center"/>
          </w:tcPr>
          <w:p w14:paraId="5DA46E3D" w14:textId="0F9D511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vAlign w:val="center"/>
          </w:tcPr>
          <w:p w14:paraId="082615A5" w14:textId="213BA16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  <w:vAlign w:val="center"/>
          </w:tcPr>
          <w:p w14:paraId="38191B9B" w14:textId="07AC27BE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" w:type="pct"/>
            <w:vAlign w:val="center"/>
          </w:tcPr>
          <w:p w14:paraId="0A63AAA5" w14:textId="727D5B6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12CE198" w14:textId="5E762D2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44924" w:rsidRPr="00613219" w14:paraId="4EB85C79" w14:textId="77777777" w:rsidTr="00BF1DA7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2B843BA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20AFA02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50" w:type="pct"/>
            <w:vAlign w:val="center"/>
          </w:tcPr>
          <w:p w14:paraId="4A25E47C" w14:textId="4E281472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14:paraId="2ABB4702" w14:textId="72A542D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14:paraId="6D9FE905" w14:textId="4901FB63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14:paraId="2ABB6818" w14:textId="6C15D150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" w:type="pct"/>
            <w:vAlign w:val="center"/>
          </w:tcPr>
          <w:p w14:paraId="5D8D8451" w14:textId="1C0BEDC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6E5BB194" w14:textId="6AAB8C49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44924" w:rsidRPr="00613219" w14:paraId="270858FE" w14:textId="77777777" w:rsidTr="00BF1DA7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1C06268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C8BD818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50" w:type="pct"/>
            <w:vAlign w:val="center"/>
          </w:tcPr>
          <w:p w14:paraId="3BEDDFEB" w14:textId="10AE1E73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0" w:type="pct"/>
            <w:vAlign w:val="center"/>
          </w:tcPr>
          <w:p w14:paraId="2FB413FD" w14:textId="6F097C3D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0" w:type="pct"/>
            <w:vAlign w:val="center"/>
          </w:tcPr>
          <w:p w14:paraId="2A6F8DAE" w14:textId="59F016F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pct"/>
            <w:vAlign w:val="center"/>
          </w:tcPr>
          <w:p w14:paraId="149B0B9A" w14:textId="6AADD460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" w:type="pct"/>
            <w:vAlign w:val="center"/>
          </w:tcPr>
          <w:p w14:paraId="245802AE" w14:textId="29B94E2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35C37911" w14:textId="33C315E2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544924" w:rsidRPr="00613219" w14:paraId="729DCFA9" w14:textId="77777777" w:rsidTr="00BF1DA7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4ADD9F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124CBF9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50" w:type="pct"/>
            <w:vAlign w:val="center"/>
          </w:tcPr>
          <w:p w14:paraId="7BB1AD33" w14:textId="44F7070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vAlign w:val="center"/>
          </w:tcPr>
          <w:p w14:paraId="6A4E8200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60DE24C5" w14:textId="7C6426BC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4535938D" w14:textId="76725C2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2" w:type="pct"/>
            <w:vAlign w:val="center"/>
          </w:tcPr>
          <w:p w14:paraId="119764A1" w14:textId="53D481FC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CA64B26" w14:textId="457D9BE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22BB9E7A" w14:textId="77777777" w:rsidTr="00BF1DA7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B3484F3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8DD302D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14:paraId="788DF647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792DEA04" w14:textId="36545C2E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71778EC4" w14:textId="5683D8CD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0" w:type="pct"/>
            <w:vAlign w:val="center"/>
          </w:tcPr>
          <w:p w14:paraId="12ACE406" w14:textId="1B211A33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" w:type="pct"/>
            <w:vAlign w:val="center"/>
          </w:tcPr>
          <w:p w14:paraId="6199ECC4" w14:textId="1B626682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A57BB5C" w14:textId="2FF9880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78D47C38" w14:textId="77777777" w:rsidTr="00BF1DA7">
        <w:trPr>
          <w:trHeight w:val="21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2BB70EF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3E279212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  <w:p w14:paraId="3BE846A8" w14:textId="28207640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50" w:type="pct"/>
            <w:vAlign w:val="center"/>
          </w:tcPr>
          <w:p w14:paraId="58EB7FF5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5D98CD8B" w14:textId="29035A27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0" w:type="pct"/>
            <w:vAlign w:val="center"/>
          </w:tcPr>
          <w:p w14:paraId="4A122AC8" w14:textId="00A6443E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vAlign w:val="center"/>
          </w:tcPr>
          <w:p w14:paraId="360019F7" w14:textId="0594A93D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pct"/>
            <w:vAlign w:val="center"/>
          </w:tcPr>
          <w:p w14:paraId="02DB999C" w14:textId="332D2ACE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3CF75DC1" w14:textId="20619AD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7A651F98" w14:textId="77777777" w:rsidTr="00BF1DA7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031BF5E1" w14:textId="36D478B4" w:rsidR="00544924" w:rsidRPr="00613219" w:rsidRDefault="0054492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2B470B5" w14:textId="5328C02F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F54C3E5" w14:textId="29197915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1EC0780" w14:textId="62C40A60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46E89523" w14:textId="68ED4900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2EBA648F" w14:textId="7BE9AAE8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498864D" w14:textId="36336B9A" w:rsidR="00544924" w:rsidRPr="00613219" w:rsidRDefault="0054492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015ACAB" w14:textId="77777777" w:rsidR="00BF1DA7" w:rsidRDefault="00BF1DA7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F94B691" w:rsidR="00437D28" w:rsidRPr="004904C5" w:rsidRDefault="007B78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конкурентов. Анализ информационного пространства.</w:t>
            </w:r>
          </w:p>
        </w:tc>
        <w:tc>
          <w:tcPr>
            <w:tcW w:w="3149" w:type="pct"/>
            <w:shd w:val="clear" w:color="auto" w:fill="auto"/>
          </w:tcPr>
          <w:p w14:paraId="360B4BE2" w14:textId="2E80398D" w:rsidR="00437D28" w:rsidRPr="009D04EE" w:rsidRDefault="007B78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91">
              <w:rPr>
                <w:sz w:val="24"/>
                <w:szCs w:val="24"/>
              </w:rPr>
              <w:t>ТрК</w:t>
            </w:r>
            <w:r w:rsidR="00492A48">
              <w:rPr>
                <w:sz w:val="24"/>
                <w:szCs w:val="24"/>
              </w:rPr>
              <w:t xml:space="preserve">; </w:t>
            </w:r>
            <w:r w:rsidR="00492A48" w:rsidRPr="00492A48">
              <w:rPr>
                <w:sz w:val="24"/>
                <w:szCs w:val="24"/>
              </w:rPr>
              <w:t>ОВВ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DAF68B7" w:rsidR="00437D28" w:rsidRPr="004904C5" w:rsidRDefault="002F7AE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Целевая аудитория проекта. </w:t>
            </w:r>
          </w:p>
        </w:tc>
        <w:tc>
          <w:tcPr>
            <w:tcW w:w="3149" w:type="pct"/>
            <w:shd w:val="clear" w:color="auto" w:fill="auto"/>
          </w:tcPr>
          <w:p w14:paraId="03F2F467" w14:textId="4E0408B0" w:rsidR="00437D28" w:rsidRPr="009D04EE" w:rsidRDefault="00492A4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  <w:tr w:rsidR="00492A4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92A48" w:rsidRPr="00437D28" w:rsidRDefault="00492A48" w:rsidP="00492A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D50E2DD" w:rsidR="00492A48" w:rsidRPr="004904C5" w:rsidRDefault="002F7AEA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91">
              <w:rPr>
                <w:b/>
                <w:sz w:val="24"/>
                <w:szCs w:val="24"/>
              </w:rPr>
              <w:t>Стратегия продвижения.</w:t>
            </w:r>
          </w:p>
        </w:tc>
        <w:tc>
          <w:tcPr>
            <w:tcW w:w="3149" w:type="pct"/>
            <w:shd w:val="clear" w:color="auto" w:fill="auto"/>
          </w:tcPr>
          <w:p w14:paraId="52821F30" w14:textId="0AC7FBEB" w:rsidR="00492A48" w:rsidRPr="00492A48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  <w:tr w:rsidR="00492A4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92A48" w:rsidRPr="00437D28" w:rsidRDefault="00492A48" w:rsidP="00492A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8D7F50F" w:rsidR="00492A48" w:rsidRPr="004904C5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Лендинг.</w:t>
            </w:r>
          </w:p>
        </w:tc>
        <w:tc>
          <w:tcPr>
            <w:tcW w:w="3149" w:type="pct"/>
            <w:shd w:val="clear" w:color="auto" w:fill="auto"/>
          </w:tcPr>
          <w:p w14:paraId="387950E5" w14:textId="78510F40" w:rsidR="00492A48" w:rsidRPr="00492A48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  <w:tr w:rsidR="00492A4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92A48" w:rsidRPr="00437D28" w:rsidRDefault="00492A48" w:rsidP="00492A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4E51D912" w:rsidR="00492A48" w:rsidRPr="004904C5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Рекламные модули для социальных сетей, e-mail-рассылки, УТП.</w:t>
            </w:r>
          </w:p>
        </w:tc>
        <w:tc>
          <w:tcPr>
            <w:tcW w:w="3149" w:type="pct"/>
            <w:shd w:val="clear" w:color="auto" w:fill="auto"/>
          </w:tcPr>
          <w:p w14:paraId="5EF9B890" w14:textId="4E0D2EF5" w:rsidR="00492A48" w:rsidRPr="00492A48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</w:tbl>
    <w:p w14:paraId="6EBA8561" w14:textId="77777777" w:rsidR="00020AE8" w:rsidRDefault="00020AE8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C11F7" w14:textId="77777777" w:rsidR="00020AE8" w:rsidRDefault="00020AE8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541DF" w14:textId="77777777" w:rsidR="00BF1DA7" w:rsidRDefault="00BF1DA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37BA2193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33CA20EA" w14:textId="28D7AF2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01E6B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33516B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01E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01E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F821821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="00791D70" w:rsidRPr="00020AE8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 xml:space="preserve">(ссылка на ЯндексДиск с матрицей, заполненной в </w:t>
        </w:r>
        <w:r w:rsidR="00791D70" w:rsidRPr="00020AE8">
          <w:rPr>
            <w:rStyle w:val="ae"/>
            <w:rFonts w:ascii="Times New Roman" w:hAnsi="Times New Roman" w:cs="Times New Roman"/>
            <w:b/>
            <w:bCs/>
            <w:sz w:val="28"/>
            <w:szCs w:val="28"/>
            <w:lang w:val="en-US"/>
          </w:rPr>
          <w:t>Excel</w:t>
        </w:r>
        <w:r w:rsidR="00791D70" w:rsidRPr="00020AE8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)</w:t>
        </w:r>
      </w:hyperlink>
    </w:p>
    <w:p w14:paraId="2E5E60CA" w14:textId="66125C42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B9" w:rsidRPr="001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А, модуль Б, модуль В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B9" w:rsidRPr="001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Г, модуль Д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77296C65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</w:t>
      </w:r>
      <w:r w:rsidR="007A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C5B">
        <w:rPr>
          <w:rFonts w:ascii="Times New Roman" w:eastAsia="Times New Roman" w:hAnsi="Times New Roman" w:cs="Times New Roman"/>
          <w:sz w:val="28"/>
          <w:szCs w:val="28"/>
        </w:rPr>
        <w:t>(РЧ, Отборочные соревнования, ФНЧ)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B40417" w14:textId="7809D91D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</w:t>
      </w:r>
      <w:r w:rsidR="007A5C5B" w:rsidRPr="007A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РЧ)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2CDB3741" w14:textId="4245805F" w:rsidR="007C5065" w:rsidRDefault="007C5065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020AE8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AE8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вариативной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не выполняется, то время, отведенное на выполнение </w:t>
      </w:r>
      <w:r w:rsidR="00020AE8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модуля,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AE8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перераспределяется,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участники получают за этот модуль 0 баллов.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5182285E" w14:textId="2AE38326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20AE8" w:rsidRP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конкурентов. Анализ информационного пространства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65E8EAA8" w14:textId="390009BB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время выполнения модуля 3,5 часа</w:t>
      </w:r>
    </w:p>
    <w:p w14:paraId="337F1B87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процессов в интернет-маркетинге. </w:t>
      </w:r>
    </w:p>
    <w:p w14:paraId="49FD25B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информационного пространства. </w:t>
      </w:r>
    </w:p>
    <w:p w14:paraId="2D6DC0A3" w14:textId="6E46725E" w:rsidR="00624799" w:rsidRPr="00624799" w:rsidRDefault="00D31C3F" w:rsidP="00D31C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24799"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конкурентов.</w:t>
      </w:r>
      <w:r w:rsidR="00624799"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аналитическую справку:</w:t>
      </w:r>
    </w:p>
    <w:p w14:paraId="6684032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Анализ присутствия темы ЛЕГЕНДЫ в информационном пространстве на основе данных из поисковых систем, включая:</w:t>
      </w:r>
    </w:p>
    <w:p w14:paraId="7179FC7B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тегов для мониторинга в поисковых системах, социальных медиа в рамках поставленной темы;</w:t>
      </w:r>
    </w:p>
    <w:p w14:paraId="6FD7EA8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публикаций по выбранной теме в СМИ, социальных сетях, форумы, тематические сайты);</w:t>
      </w:r>
    </w:p>
    <w:p w14:paraId="494E046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групп и авторов в социальных сетях;</w:t>
      </w:r>
    </w:p>
    <w:p w14:paraId="510BD3E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и анализ высказываний блогеров и лидеров общественного мнения по заданной теме на основе данных из поисковых систем.</w:t>
      </w:r>
    </w:p>
    <w:p w14:paraId="4DCC7797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Анализ аналогичных проектов:</w:t>
      </w:r>
    </w:p>
    <w:p w14:paraId="3814CAA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поисковых фраз для поиска интернет-ресурсов;</w:t>
      </w:r>
    </w:p>
    <w:p w14:paraId="10B01B21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интернет-площадок;</w:t>
      </w:r>
    </w:p>
    <w:p w14:paraId="4F0D7104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Выводы и предложения</w:t>
      </w:r>
    </w:p>
    <w:p w14:paraId="51B590DA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экспертная оценка полученной информации;</w:t>
      </w:r>
    </w:p>
    <w:p w14:paraId="2CB51CEA" w14:textId="09538B66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по итогам проведенного анализа и оценки.</w:t>
      </w:r>
    </w:p>
    <w:p w14:paraId="49B7F0F5" w14:textId="2E316BC4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87A523" w14:textId="0EBCEFC5" w:rsidR="00624799" w:rsidRDefault="00624799" w:rsidP="00A378C2">
      <w:pPr>
        <w:tabs>
          <w:tab w:val="left" w:pos="226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A3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378C2"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3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Целевая</w:t>
      </w:r>
      <w:r w:rsidR="00020AE8" w:rsidRP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аудитория проекта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30A3B24F" w14:textId="091A56FC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время выполнения модуля 3,5 часа </w:t>
      </w:r>
    </w:p>
    <w:p w14:paraId="12FC493C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процессов в интернет-маркетинге. </w:t>
      </w:r>
    </w:p>
    <w:p w14:paraId="4A3BF87B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целевой аудитории. </w:t>
      </w:r>
    </w:p>
    <w:p w14:paraId="33EB28DE" w14:textId="2405823A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Определить целевую аудиторию</w:t>
      </w:r>
      <w:r w:rsidR="003676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разработав анкету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выделить 3 сег</w:t>
      </w:r>
      <w:r w:rsidR="00367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целевой аудитории проекта, сделать анализ.</w:t>
      </w:r>
    </w:p>
    <w:p w14:paraId="5F8B934E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портрет типичного представителя каждого сегмента.</w:t>
      </w:r>
    </w:p>
    <w:p w14:paraId="089EFC31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презентацию для заказчика с рекомендации к посадочной странице по теме ЛЕГЕНДЫ:</w:t>
      </w:r>
    </w:p>
    <w:p w14:paraId="563DAA0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2 варианта специального предложения, сформулировать его в виде предложения посетителям сайта;</w:t>
      </w:r>
    </w:p>
    <w:p w14:paraId="16AFF023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предложить цветовое решение и обосновать его; </w:t>
      </w:r>
    </w:p>
    <w:p w14:paraId="769C274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рекомендации по навигации по странице; </w:t>
      </w:r>
    </w:p>
    <w:p w14:paraId="5F9BFAA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перечислить основные конверсионные элементы, указать место их размещения на странице;</w:t>
      </w:r>
    </w:p>
    <w:p w14:paraId="7DECB30F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перечислить основные блоки, которые должны формировать страницу;</w:t>
      </w:r>
    </w:p>
    <w:p w14:paraId="484AA3F5" w14:textId="7AB4E74C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 примерный вариант визуализации лендинга. </w:t>
      </w:r>
    </w:p>
    <w:p w14:paraId="7280D5B4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D0B100" w14:textId="306E7440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3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Стратегия</w:t>
      </w:r>
      <w:r w:rsidR="00020AE8" w:rsidRP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продвижения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53934337" w14:textId="5C28D719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время выполнения модуля 3,5 часа (модуль выполняется без подключения к сети Internet)</w:t>
      </w:r>
    </w:p>
    <w:p w14:paraId="53867350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привлечению трафика на площадки и конверсия его в целевые действия. </w:t>
      </w:r>
    </w:p>
    <w:p w14:paraId="4B616B3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стратегии продвижения.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Создать стратегию продвижения в социальных сетях, которая будет включать следующие разделы:</w:t>
      </w:r>
    </w:p>
    <w:p w14:paraId="735A41D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Концепция продвижения:</w:t>
      </w:r>
    </w:p>
    <w:p w14:paraId="689DC04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продвижения;</w:t>
      </w:r>
    </w:p>
    <w:p w14:paraId="06E673E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для достижения каждой цели;</w:t>
      </w:r>
    </w:p>
    <w:p w14:paraId="51F863E4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Модели поведения аудитории, и чем можно на нее влиять;</w:t>
      </w:r>
    </w:p>
    <w:p w14:paraId="411D03E9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идея в контенте;</w:t>
      </w:r>
    </w:p>
    <w:p w14:paraId="112BD29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Рубрикатор;</w:t>
      </w:r>
    </w:p>
    <w:p w14:paraId="5939E51B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Предоставить не менее 3 тем для каждой рубрики;</w:t>
      </w:r>
    </w:p>
    <w:p w14:paraId="1D17343F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социальные сети для продвижения и обосновать их.</w:t>
      </w:r>
    </w:p>
    <w:p w14:paraId="1E3C1CE5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Примеры:</w:t>
      </w:r>
    </w:p>
    <w:p w14:paraId="032D4607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форматы постов и описать требования к ним;</w:t>
      </w:r>
    </w:p>
    <w:p w14:paraId="7AE41CEF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Представить примеры для ведения аккаунтов/сообществ в социальных сетях, в том числе стиль текста, дизайн и оформление.</w:t>
      </w:r>
    </w:p>
    <w:p w14:paraId="3499291E" w14:textId="1CAECBE2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контент-план на 2 недели (01.10-14.10), учитывая правила разработки таких планов.</w:t>
      </w:r>
    </w:p>
    <w:p w14:paraId="72CB296E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EB0661" w14:textId="16C2B443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3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AE8" w:rsidRP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Лендинг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(вариатив)</w:t>
      </w:r>
    </w:p>
    <w:p w14:paraId="77015060" w14:textId="5B7C919C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выполнение модуля 3,5 часа</w:t>
      </w:r>
    </w:p>
    <w:p w14:paraId="087576FA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 на подключение и тесту zoom</w:t>
      </w:r>
    </w:p>
    <w:p w14:paraId="1D62114A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 на презентацию заказчику</w:t>
      </w:r>
    </w:p>
    <w:p w14:paraId="25A2CF6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разработке продуктов.</w:t>
      </w:r>
    </w:p>
    <w:p w14:paraId="71FC5D6A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лендинга. </w:t>
      </w:r>
    </w:p>
    <w:p w14:paraId="79989D05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для заказчика.</w:t>
      </w:r>
    </w:p>
    <w:p w14:paraId="425C8A26" w14:textId="65177516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презентации.</w:t>
      </w:r>
    </w:p>
    <w:p w14:paraId="133F6DEE" w14:textId="4FF3AD33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Разработать лендинг на платформе flexbe;</w:t>
      </w:r>
    </w:p>
    <w:p w14:paraId="0368EC73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на лендинге главное целевое действие;</w:t>
      </w:r>
    </w:p>
    <w:p w14:paraId="6B43B8F6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Подкрепить главное целевое действие аргументами;</w:t>
      </w:r>
    </w:p>
    <w:p w14:paraId="201BB69F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на лендинге не менее 2-х дополнительных целевых действия.</w:t>
      </w:r>
    </w:p>
    <w:p w14:paraId="6239B1F9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Подготовить презентацию для ЗАКАЗЧИКА (презентация должны включать в себя пакет инструментов для продвижения: стратегия, контент-план, ссылку на лендинг). </w:t>
      </w:r>
    </w:p>
    <w:p w14:paraId="5A6D90D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Защитить презентацию перед заказчиком.</w:t>
      </w:r>
    </w:p>
    <w:p w14:paraId="5A9CD86C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презентации в формате онлайн: подключение через zoom, регламент 5 мин. (запись конференции выгружается на рабочий стол).</w:t>
      </w:r>
    </w:p>
    <w:p w14:paraId="39B0DA12" w14:textId="13E53B83" w:rsidR="00624799" w:rsidRPr="00624799" w:rsidRDefault="00624799" w:rsidP="006247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AAB935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BA1AD" w14:textId="560763B7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3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AE8" w:rsidRP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Рекламные модули для социальных сетей, e-mail-рассылки, УТП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(вариатив)</w:t>
      </w:r>
    </w:p>
    <w:p w14:paraId="409009D5" w14:textId="476C2CB3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время выполнение модуля 4 часа</w:t>
      </w:r>
    </w:p>
    <w:p w14:paraId="0261A239" w14:textId="77777777" w:rsidR="00367652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привлечению трафика на площадки и конверсия в целевые действия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D61993" w14:textId="76990C31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GoBack"/>
      <w:bookmarkEnd w:id="10"/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Сформулировать 3 уникальных торговых предложения.</w:t>
      </w:r>
    </w:p>
    <w:p w14:paraId="60A01D81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Придумать 3 темы любых возможных рассылок в рамках легенды с максимальным на ваш взгляд Open Rate.</w:t>
      </w:r>
    </w:p>
    <w:p w14:paraId="7998B680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продающее письмо по теме «Лендинг» и отправить его на почту для сбора заданий.</w:t>
      </w:r>
    </w:p>
    <w:p w14:paraId="729E4821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Создать не менее 3 рекламных модулей для соцсетей с 3 вариантами креатива каждый.</w:t>
      </w:r>
    </w:p>
    <w:p w14:paraId="3817D595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 УТП, темами рассылок, рекламными модулями оставить на рабочем столе.</w:t>
      </w:r>
    </w:p>
    <w:p w14:paraId="3CB89C1D" w14:textId="1829BA85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Продающее письмо отправить на e-mail: ХХХ</w:t>
      </w:r>
    </w:p>
    <w:p w14:paraId="1149CE58" w14:textId="5C4682BA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Тема письма: Модуль </w:t>
      </w:r>
      <w:r w:rsidR="001F6E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ФИО </w:t>
      </w: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36864381" w14:textId="1FB9BDC7" w:rsidR="003A233D" w:rsidRPr="003A233D" w:rsidRDefault="003A233D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>Участники соревнований получают КЕЙС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(Легенду)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. Кейс разрабатывается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</w:p>
    <w:p w14:paraId="6AD0F918" w14:textId="5A76B5CC" w:rsidR="00EA30C6" w:rsidRDefault="003A233D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>В кейсе прописывается вся необходимая информация о заказчике, цель обращения заказчика и другая дополнительная информация.</w:t>
      </w:r>
    </w:p>
    <w:p w14:paraId="0C430178" w14:textId="77777777" w:rsidR="003A233D" w:rsidRDefault="003A233D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время выполнения модулей Участники сдают личные мобильные устройства Главному эксперту площадки. </w:t>
      </w:r>
    </w:p>
    <w:p w14:paraId="2866DE09" w14:textId="019C1B95" w:rsidR="003A233D" w:rsidRDefault="003A233D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во время конкурса запрещены любые виды внешних коммуникаций, пользование любыми мессенджерами, использование сетевых папок.  </w:t>
      </w:r>
    </w:p>
    <w:p w14:paraId="2A602411" w14:textId="77777777" w:rsidR="00A378C2" w:rsidRDefault="003A233D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 xml:space="preserve">Участник конкурса, </w:t>
      </w:r>
      <w:r>
        <w:rPr>
          <w:rFonts w:ascii="Times New Roman" w:eastAsia="Times New Roman" w:hAnsi="Times New Roman" w:cs="Times New Roman"/>
          <w:sz w:val="28"/>
          <w:szCs w:val="28"/>
        </w:rPr>
        <w:t>нарушивший правила коммуникаций во время работы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, может быть отстранен от конкурса.</w:t>
      </w:r>
    </w:p>
    <w:p w14:paraId="468043B8" w14:textId="41A5F935" w:rsidR="003A233D" w:rsidRPr="003A233D" w:rsidRDefault="007B1A14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Выполненный модуль сохраняется на носителе, определенном Главным экспертом и согласованным Менеджером компетенции.</w:t>
      </w:r>
    </w:p>
    <w:p w14:paraId="7AEE36D0" w14:textId="77777777" w:rsidR="003A233D" w:rsidRPr="00F3099C" w:rsidRDefault="003A233D" w:rsidP="003A23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020AE8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020AE8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020AE8">
        <w:rPr>
          <w:rFonts w:ascii="Times New Roman" w:hAnsi="Times New Roman"/>
          <w:color w:val="000000"/>
          <w:szCs w:val="28"/>
        </w:rPr>
        <w:t>.</w:t>
      </w:r>
      <w:r w:rsidRPr="00020AE8">
        <w:rPr>
          <w:rFonts w:ascii="Times New Roman" w:hAnsi="Times New Roman"/>
          <w:color w:val="000000"/>
          <w:szCs w:val="28"/>
        </w:rPr>
        <w:t>1</w:t>
      </w:r>
      <w:r w:rsidR="00FB022D" w:rsidRPr="00020AE8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020AE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580FD8AF" w14:textId="77777777" w:rsidR="00B27434" w:rsidRPr="00020AE8" w:rsidRDefault="00B27434" w:rsidP="00786827">
      <w:pPr>
        <w:pStyle w:val="3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5" w:name="_Toc78885660"/>
      <w:r w:rsidRPr="00020AE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Конкурсанты используют только инструменты, предоставляемые площадкой.</w:t>
      </w:r>
    </w:p>
    <w:p w14:paraId="112A6605" w14:textId="72F8892A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CD2DB8" w:rsidRPr="00020AE8" w14:paraId="37467075" w14:textId="77777777" w:rsidTr="00020AE8">
        <w:trPr>
          <w:trHeight w:val="315"/>
        </w:trPr>
        <w:tc>
          <w:tcPr>
            <w:tcW w:w="9340" w:type="dxa"/>
            <w:shd w:val="clear" w:color="auto" w:fill="auto"/>
            <w:vAlign w:val="center"/>
            <w:hideMark/>
          </w:tcPr>
          <w:p w14:paraId="75A815A6" w14:textId="77777777" w:rsidR="00CD2DB8" w:rsidRPr="00020AE8" w:rsidRDefault="00CD2DB8" w:rsidP="00020AE8">
            <w:pPr>
              <w:shd w:val="clear" w:color="000000" w:fill="auto"/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bookmarkStart w:id="16" w:name="_Toc124422973"/>
            <w:r w:rsidRPr="0002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Личные ноутбуки или переносные компьютеры.</w:t>
            </w:r>
          </w:p>
          <w:p w14:paraId="4C536B41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2DB8" w:rsidRPr="00020AE8" w14:paraId="70261AB2" w14:textId="77777777" w:rsidTr="00020AE8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24551C29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CD2DB8" w:rsidRPr="00020AE8" w14:paraId="70C061E1" w14:textId="77777777" w:rsidTr="00020AE8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00DB1BA6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Электронные книги, записные книжки.</w:t>
            </w:r>
          </w:p>
        </w:tc>
      </w:tr>
      <w:tr w:rsidR="00CD2DB8" w:rsidRPr="00020AE8" w14:paraId="55BAD8C1" w14:textId="77777777" w:rsidTr="00020AE8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1F77E5E2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CD2DB8" w:rsidRPr="00020AE8" w14:paraId="18F506B7" w14:textId="77777777" w:rsidTr="00020AE8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7C1A5327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CD2DB8" w:rsidRPr="00020AE8" w14:paraId="68929A9E" w14:textId="77777777" w:rsidTr="00020AE8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0B0F6497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CD2DB8" w:rsidRPr="00020AE8" w14:paraId="2356C69F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5B428E37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Любое дополнительное программное обеспечение, за исключением предоставленного организаторами, если иное не разрешено большинством экспертов. </w:t>
            </w:r>
          </w:p>
        </w:tc>
      </w:tr>
      <w:tr w:rsidR="00CD2DB8" w:rsidRPr="00020AE8" w14:paraId="71EFFA90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530E9827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Предварительно запрограммированные микросхемы.</w:t>
            </w:r>
          </w:p>
        </w:tc>
      </w:tr>
      <w:tr w:rsidR="00CD2DB8" w:rsidRPr="00020AE8" w14:paraId="3F3E2C5B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1E6C63D2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Покупные компоненты, модифицированные любым способом до начала демонстрационного экзамена.  </w:t>
            </w:r>
          </w:p>
        </w:tc>
      </w:tr>
      <w:tr w:rsidR="00CD2DB8" w:rsidRPr="00020AE8" w14:paraId="44B97EC5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4F387A52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Заранее выписанные рецепты.</w:t>
            </w:r>
          </w:p>
        </w:tc>
      </w:tr>
      <w:tr w:rsidR="00CD2DB8" w:rsidRPr="00020AE8" w14:paraId="2CF73BF2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1B412363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Оборудование аналогичное, или выполняющие аналогичные функции, что и поставленное организаторами. </w:t>
            </w:r>
          </w:p>
        </w:tc>
      </w:tr>
      <w:tr w:rsidR="00B27434" w:rsidRPr="00020AE8" w14:paraId="4A785AC9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65BE2402" w14:textId="1DFFA35C" w:rsidR="00B27434" w:rsidRPr="00020AE8" w:rsidRDefault="00B27434" w:rsidP="00020A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Любые нерегламентированные справочники и книги</w:t>
            </w:r>
          </w:p>
        </w:tc>
      </w:tr>
      <w:tr w:rsidR="00B27434" w:rsidRPr="00020AE8" w14:paraId="53F95F9F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52EC72B5" w14:textId="732AD4CA" w:rsidR="00B27434" w:rsidRPr="00020AE8" w:rsidRDefault="00B27434" w:rsidP="00020A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Любые аудио устройства, кроме оговоренных ИЛ</w:t>
            </w:r>
          </w:p>
        </w:tc>
      </w:tr>
      <w:tr w:rsidR="00B27434" w:rsidRPr="00020AE8" w14:paraId="62C579E7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0C84EEAF" w14:textId="4D323774" w:rsidR="00B27434" w:rsidRPr="00020AE8" w:rsidRDefault="00B27434" w:rsidP="00020A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Любые видео устройства, кроме оговоренных в ИЛ</w:t>
            </w:r>
          </w:p>
        </w:tc>
      </w:tr>
      <w:tr w:rsidR="00B27434" w:rsidRPr="00020AE8" w14:paraId="575652D2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54FF0B03" w14:textId="1A86308A" w:rsidR="00B27434" w:rsidRPr="00020AE8" w:rsidRDefault="00B27434" w:rsidP="00020A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Любые переговорные устройства</w:t>
            </w:r>
          </w:p>
        </w:tc>
      </w:tr>
      <w:tr w:rsidR="00CD2DB8" w:rsidRPr="00020AE8" w14:paraId="0499F9A5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1F57C129" w14:textId="55255F3C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В процессе </w:t>
            </w:r>
            <w:r w:rsidR="00B27434"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выполнения модулей</w:t>
            </w: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без разрешения главного эксперта не допускается удаление со своих мест в рабочей зоне никакого инструмента, оборудования, компонентов, руководств, чертежей или устройств хранения данных. </w:t>
            </w:r>
          </w:p>
        </w:tc>
      </w:tr>
    </w:tbl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0F56EEAE" w:rsidR="00945E13" w:rsidRPr="00BF1DA7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DA7">
        <w:rPr>
          <w:rFonts w:ascii="Times New Roman" w:hAnsi="Times New Roman" w:cs="Times New Roman"/>
          <w:sz w:val="24"/>
          <w:szCs w:val="24"/>
        </w:rPr>
        <w:t>Приложение №</w:t>
      </w:r>
      <w:r w:rsidR="00B37579" w:rsidRPr="00BF1DA7">
        <w:rPr>
          <w:rFonts w:ascii="Times New Roman" w:hAnsi="Times New Roman" w:cs="Times New Roman"/>
          <w:sz w:val="24"/>
          <w:szCs w:val="24"/>
        </w:rPr>
        <w:t xml:space="preserve">1 </w:t>
      </w:r>
      <w:r w:rsidR="00945E13" w:rsidRPr="00BF1DA7">
        <w:rPr>
          <w:rFonts w:ascii="Times New Roman" w:hAnsi="Times New Roman" w:cs="Times New Roman"/>
          <w:sz w:val="24"/>
          <w:szCs w:val="24"/>
        </w:rPr>
        <w:t>Инструкция по заполнению матрицы конкурсн</w:t>
      </w:r>
      <w:r w:rsidR="005B05D5" w:rsidRPr="00BF1DA7">
        <w:rPr>
          <w:rFonts w:ascii="Times New Roman" w:hAnsi="Times New Roman" w:cs="Times New Roman"/>
          <w:sz w:val="24"/>
          <w:szCs w:val="24"/>
        </w:rPr>
        <w:t>ого</w:t>
      </w:r>
      <w:r w:rsidR="00945E13" w:rsidRPr="00BF1DA7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B05D5" w:rsidRPr="00BF1DA7">
        <w:rPr>
          <w:rFonts w:ascii="Times New Roman" w:hAnsi="Times New Roman" w:cs="Times New Roman"/>
          <w:sz w:val="24"/>
          <w:szCs w:val="24"/>
        </w:rPr>
        <w:t>я</w:t>
      </w:r>
      <w:r w:rsidR="00210E80" w:rsidRPr="00BF1D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1DB38" w14:textId="0B01135E" w:rsidR="00B37579" w:rsidRPr="00BF1DA7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DA7"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hyperlink r:id="rId11" w:history="1">
        <w:r w:rsidR="00B37579" w:rsidRPr="00BF1DA7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Матрица конкурсн</w:t>
        </w:r>
        <w:r w:rsidR="005B05D5" w:rsidRPr="00BF1DA7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ого</w:t>
        </w:r>
        <w:r w:rsidR="00B37579" w:rsidRPr="00BF1DA7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задани</w:t>
        </w:r>
        <w:r w:rsidR="005B05D5" w:rsidRPr="00BF1DA7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я</w:t>
        </w:r>
      </w:hyperlink>
    </w:p>
    <w:p w14:paraId="1211BF0E" w14:textId="48E17486" w:rsidR="00A27EE4" w:rsidRPr="00BF1DA7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DA7">
        <w:rPr>
          <w:rFonts w:ascii="Times New Roman" w:hAnsi="Times New Roman" w:cs="Times New Roman"/>
          <w:sz w:val="24"/>
          <w:szCs w:val="24"/>
        </w:rPr>
        <w:t>Приложение №</w:t>
      </w:r>
      <w:r w:rsidR="00A378C2" w:rsidRPr="00BF1DA7">
        <w:rPr>
          <w:rFonts w:ascii="Times New Roman" w:hAnsi="Times New Roman" w:cs="Times New Roman"/>
          <w:sz w:val="24"/>
          <w:szCs w:val="24"/>
        </w:rPr>
        <w:t>3</w:t>
      </w:r>
      <w:r w:rsidR="007B3FD5" w:rsidRPr="00BF1DA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11569" w:rsidRPr="00BF1DA7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Инструкция по охране труда и технике безопасности по компетенции «</w:t>
        </w:r>
        <w:r w:rsidR="002A3D90" w:rsidRPr="00BF1DA7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Интернет-маркетинг</w:t>
        </w:r>
        <w:r w:rsidR="00A11569" w:rsidRPr="00BF1DA7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».</w:t>
        </w:r>
      </w:hyperlink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AEEC9" w14:textId="77777777" w:rsidR="001E5893" w:rsidRDefault="001E5893" w:rsidP="00970F49">
      <w:pPr>
        <w:spacing w:after="0" w:line="240" w:lineRule="auto"/>
      </w:pPr>
      <w:r>
        <w:separator/>
      </w:r>
    </w:p>
  </w:endnote>
  <w:endnote w:type="continuationSeparator" w:id="0">
    <w:p w14:paraId="3D855D15" w14:textId="77777777" w:rsidR="001E5893" w:rsidRDefault="001E589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71D066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6765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15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7D2E4" w14:textId="77777777" w:rsidR="001E5893" w:rsidRDefault="001E5893" w:rsidP="00970F49">
      <w:pPr>
        <w:spacing w:after="0" w:line="240" w:lineRule="auto"/>
      </w:pPr>
      <w:r>
        <w:separator/>
      </w:r>
    </w:p>
  </w:footnote>
  <w:footnote w:type="continuationSeparator" w:id="0">
    <w:p w14:paraId="546DBC69" w14:textId="77777777" w:rsidR="001E5893" w:rsidRDefault="001E589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052527"/>
    <w:multiLevelType w:val="hybridMultilevel"/>
    <w:tmpl w:val="184203C4"/>
    <w:lvl w:ilvl="0" w:tplc="F91651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961C1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F69C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40A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B6B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DE3C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22E3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3B4E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D605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6DB7A52"/>
    <w:multiLevelType w:val="hybridMultilevel"/>
    <w:tmpl w:val="DBDE6DEE"/>
    <w:lvl w:ilvl="0" w:tplc="D370EB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0A05EF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CF080A9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C2A71E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E0D83B2C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7F0460B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99641AC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09021470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79182FB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67AD"/>
    <w:multiLevelType w:val="hybridMultilevel"/>
    <w:tmpl w:val="63B0B2E2"/>
    <w:lvl w:ilvl="0" w:tplc="2D489D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0486C4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44CEEB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4C56F5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6D664B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4AA02D8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EFEA7C6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1A603C6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9C1442E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55206E51"/>
    <w:multiLevelType w:val="hybridMultilevel"/>
    <w:tmpl w:val="AC502636"/>
    <w:lvl w:ilvl="0" w:tplc="6AA47B4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C834F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A0836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A9A6B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2A9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F141A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1426F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C04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34CE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1D336B3"/>
    <w:multiLevelType w:val="hybridMultilevel"/>
    <w:tmpl w:val="586CC1E4"/>
    <w:lvl w:ilvl="0" w:tplc="F5DA55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C54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A201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EE1B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B706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EF2FA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A8B8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E83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B473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203D9"/>
    <w:multiLevelType w:val="hybridMultilevel"/>
    <w:tmpl w:val="89786480"/>
    <w:lvl w:ilvl="0" w:tplc="F328CC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7504A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8A9F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52E85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3E0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BE6A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9E4E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54EC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1087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1"/>
  </w:num>
  <w:num w:numId="10">
    <w:abstractNumId w:val="8"/>
  </w:num>
  <w:num w:numId="11">
    <w:abstractNumId w:val="3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0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16"/>
  </w:num>
  <w:num w:numId="24">
    <w:abstractNumId w:val="9"/>
  </w:num>
  <w:num w:numId="25">
    <w:abstractNumId w:val="27"/>
  </w:num>
  <w:num w:numId="26">
    <w:abstractNumId w:val="6"/>
  </w:num>
  <w:num w:numId="27">
    <w:abstractNumId w:val="19"/>
  </w:num>
  <w:num w:numId="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0AE8"/>
    <w:rsid w:val="00021CCE"/>
    <w:rsid w:val="000244DA"/>
    <w:rsid w:val="00024F7D"/>
    <w:rsid w:val="00041A78"/>
    <w:rsid w:val="00056CDE"/>
    <w:rsid w:val="000645AF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11CC"/>
    <w:rsid w:val="0015561E"/>
    <w:rsid w:val="001627D5"/>
    <w:rsid w:val="0017612A"/>
    <w:rsid w:val="00183CB9"/>
    <w:rsid w:val="001A0D1C"/>
    <w:rsid w:val="001C63E7"/>
    <w:rsid w:val="001E1DF9"/>
    <w:rsid w:val="001E5893"/>
    <w:rsid w:val="001F6E87"/>
    <w:rsid w:val="00210E80"/>
    <w:rsid w:val="00217A5F"/>
    <w:rsid w:val="00220E70"/>
    <w:rsid w:val="00237603"/>
    <w:rsid w:val="00270E01"/>
    <w:rsid w:val="002776A1"/>
    <w:rsid w:val="0029547E"/>
    <w:rsid w:val="002A3D90"/>
    <w:rsid w:val="002B1426"/>
    <w:rsid w:val="002B5B56"/>
    <w:rsid w:val="002C27B4"/>
    <w:rsid w:val="002F2906"/>
    <w:rsid w:val="002F7AEA"/>
    <w:rsid w:val="003242E1"/>
    <w:rsid w:val="00333911"/>
    <w:rsid w:val="00334165"/>
    <w:rsid w:val="003531E7"/>
    <w:rsid w:val="003601A4"/>
    <w:rsid w:val="00367652"/>
    <w:rsid w:val="0037535C"/>
    <w:rsid w:val="003934F8"/>
    <w:rsid w:val="00397A1B"/>
    <w:rsid w:val="003A21C8"/>
    <w:rsid w:val="003A233D"/>
    <w:rsid w:val="003C1D7A"/>
    <w:rsid w:val="003C5F97"/>
    <w:rsid w:val="003D1E51"/>
    <w:rsid w:val="003E7342"/>
    <w:rsid w:val="004254FE"/>
    <w:rsid w:val="00435E4D"/>
    <w:rsid w:val="00436FFC"/>
    <w:rsid w:val="00437D28"/>
    <w:rsid w:val="0044354A"/>
    <w:rsid w:val="00454353"/>
    <w:rsid w:val="00461AC6"/>
    <w:rsid w:val="0047429B"/>
    <w:rsid w:val="004904C5"/>
    <w:rsid w:val="004917C4"/>
    <w:rsid w:val="00492A48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4924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150C4"/>
    <w:rsid w:val="0062479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7D88"/>
    <w:rsid w:val="0074372D"/>
    <w:rsid w:val="007604F9"/>
    <w:rsid w:val="00764773"/>
    <w:rsid w:val="007735DC"/>
    <w:rsid w:val="0078311A"/>
    <w:rsid w:val="00786827"/>
    <w:rsid w:val="00791D70"/>
    <w:rsid w:val="007A5C5B"/>
    <w:rsid w:val="007A61C5"/>
    <w:rsid w:val="007A6888"/>
    <w:rsid w:val="007B0DCC"/>
    <w:rsid w:val="007B1A14"/>
    <w:rsid w:val="007B2222"/>
    <w:rsid w:val="007B3FD5"/>
    <w:rsid w:val="007B7891"/>
    <w:rsid w:val="007C5065"/>
    <w:rsid w:val="007D3601"/>
    <w:rsid w:val="007D6C20"/>
    <w:rsid w:val="007E73B4"/>
    <w:rsid w:val="00812516"/>
    <w:rsid w:val="00832B6B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5E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029F"/>
    <w:rsid w:val="009F57C0"/>
    <w:rsid w:val="00A0510D"/>
    <w:rsid w:val="00A11569"/>
    <w:rsid w:val="00A204BB"/>
    <w:rsid w:val="00A20A67"/>
    <w:rsid w:val="00A212C9"/>
    <w:rsid w:val="00A24BD7"/>
    <w:rsid w:val="00A27EE4"/>
    <w:rsid w:val="00A378C2"/>
    <w:rsid w:val="00A53D9D"/>
    <w:rsid w:val="00A57976"/>
    <w:rsid w:val="00A61762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11AB"/>
    <w:rsid w:val="00AE6AB7"/>
    <w:rsid w:val="00AE7A32"/>
    <w:rsid w:val="00B01E6B"/>
    <w:rsid w:val="00B162B5"/>
    <w:rsid w:val="00B236AD"/>
    <w:rsid w:val="00B27434"/>
    <w:rsid w:val="00B30A26"/>
    <w:rsid w:val="00B37579"/>
    <w:rsid w:val="00B40FFB"/>
    <w:rsid w:val="00B4196F"/>
    <w:rsid w:val="00B45392"/>
    <w:rsid w:val="00B45AA4"/>
    <w:rsid w:val="00B610A2"/>
    <w:rsid w:val="00BA2CF0"/>
    <w:rsid w:val="00BB16BA"/>
    <w:rsid w:val="00BC3813"/>
    <w:rsid w:val="00BC7808"/>
    <w:rsid w:val="00BE099A"/>
    <w:rsid w:val="00BF1DA7"/>
    <w:rsid w:val="00C06EBC"/>
    <w:rsid w:val="00C0723F"/>
    <w:rsid w:val="00C17B01"/>
    <w:rsid w:val="00C21E3A"/>
    <w:rsid w:val="00C26C83"/>
    <w:rsid w:val="00C32642"/>
    <w:rsid w:val="00C42C09"/>
    <w:rsid w:val="00C52383"/>
    <w:rsid w:val="00C56A9B"/>
    <w:rsid w:val="00C740CF"/>
    <w:rsid w:val="00C820D9"/>
    <w:rsid w:val="00C8277D"/>
    <w:rsid w:val="00C95538"/>
    <w:rsid w:val="00C96567"/>
    <w:rsid w:val="00C97E44"/>
    <w:rsid w:val="00CA6CCD"/>
    <w:rsid w:val="00CC50B7"/>
    <w:rsid w:val="00CD2DB8"/>
    <w:rsid w:val="00CE0D4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C3F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4712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73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73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zrG2Q5LDhkm94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5jxgIHTRGNkG0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1\Downloads\&#1052;&#1072;&#1090;&#1088;&#1080;&#1094;&#1072;_&#1048;&#1052;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58A1-AD96-4098-BD87-E3C3A538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NataSha</cp:lastModifiedBy>
  <cp:revision>2</cp:revision>
  <cp:lastPrinted>2025-01-14T11:37:00Z</cp:lastPrinted>
  <dcterms:created xsi:type="dcterms:W3CDTF">2025-02-18T10:32:00Z</dcterms:created>
  <dcterms:modified xsi:type="dcterms:W3CDTF">2025-02-18T10:32:00Z</dcterms:modified>
</cp:coreProperties>
</file>