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79F0A9A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8F3F52">
        <w:rPr>
          <w:rFonts w:eastAsia="Times New Roman" w:cs="Times New Roman"/>
          <w:color w:val="000000"/>
          <w:sz w:val="40"/>
          <w:szCs w:val="40"/>
        </w:rPr>
        <w:t>Дошкольное воспитание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174062C2" w14:textId="77777777" w:rsidR="00CF0718" w:rsidRDefault="008F3F5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1C196952" w:rsidR="00A74F0F" w:rsidRPr="00CF0718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CF0718">
        <w:rPr>
          <w:rFonts w:eastAsia="Times New Roman" w:cs="Times New Roman"/>
          <w:color w:val="000000"/>
          <w:sz w:val="36"/>
          <w:szCs w:val="36"/>
        </w:rPr>
        <w:t>______</w:t>
      </w:r>
      <w:r w:rsidR="00CF0718" w:rsidRPr="00CF0718">
        <w:rPr>
          <w:rFonts w:eastAsia="Times New Roman" w:cs="Times New Roman"/>
          <w:color w:val="000000"/>
          <w:sz w:val="36"/>
          <w:szCs w:val="36"/>
          <w:u w:val="single"/>
        </w:rPr>
        <w:t>Пензенской области</w:t>
      </w:r>
      <w:r w:rsidR="00CF0718" w:rsidRPr="00CF0718">
        <w:rPr>
          <w:rFonts w:eastAsia="Times New Roman" w:cs="Times New Roman"/>
          <w:color w:val="000000"/>
          <w:sz w:val="36"/>
          <w:szCs w:val="36"/>
        </w:rPr>
        <w:t>_____</w:t>
      </w:r>
    </w:p>
    <w:p w14:paraId="33D6F31A" w14:textId="1E5CFF94" w:rsidR="00A74F0F" w:rsidRPr="00CF0718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  <w:u w:val="single"/>
        </w:rPr>
      </w:pPr>
      <w:r w:rsidRPr="00CF0718">
        <w:rPr>
          <w:rFonts w:eastAsia="Times New Roman" w:cs="Times New Roman"/>
          <w:color w:val="000000"/>
          <w:sz w:val="22"/>
          <w:szCs w:val="22"/>
          <w:u w:val="single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1607B9A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5D7287F4" w14:textId="77777777" w:rsidR="008F3F52" w:rsidRDefault="008F3F52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DD680A6" w14:textId="77777777" w:rsidR="008F3F52" w:rsidRDefault="00D33EDB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9120E15" w14:textId="77777777" w:rsidR="008F3F52" w:rsidRDefault="00D33EDB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4B33B28" w14:textId="77777777" w:rsidR="008F3F52" w:rsidRDefault="00D33EDB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AF14D5E" w14:textId="77777777" w:rsidR="008F3F52" w:rsidRDefault="00D33EDB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0631CED7" w14:textId="77777777" w:rsidR="008F3F52" w:rsidRDefault="00D33EDB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3FD8D0B8" w14:textId="77777777" w:rsidR="008F3F52" w:rsidRDefault="00D33EDB" w:rsidP="008F3F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8F3F5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8F3F5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8F3F52">
            <w:fldChar w:fldCharType="end"/>
          </w:r>
        </w:p>
      </w:sdtContent>
    </w:sdt>
    <w:p w14:paraId="7BCBE8A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58AA19C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0ABB48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3A1CC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6DCCF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5BEF3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F4537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32D14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934A7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79D720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2B6CF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0090C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BF19F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53828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C4550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FFE14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71A5C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08B7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244B5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6A6DD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05B8C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8DE5E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B8EF3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BEAC5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8E71DE9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65736156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66A1D73" w14:textId="667C156E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 xml:space="preserve">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FF88C41" w14:textId="6745453A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60906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 xml:space="preserve">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="00860906">
        <w:rPr>
          <w:rFonts w:eastAsia="Times New Roman" w:cs="Times New Roman"/>
          <w:color w:val="000000"/>
          <w:sz w:val="28"/>
          <w:szCs w:val="28"/>
        </w:rPr>
        <w:t>5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7D29A4C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1A265CB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0E27E2F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B3A8C0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01B874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B222768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284E8E7C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 w:rsidRPr="00553DDA">
        <w:rPr>
          <w:rFonts w:eastAsia="Times New Roman" w:cs="Times New Roman"/>
          <w:color w:val="000000"/>
          <w:sz w:val="28"/>
          <w:szCs w:val="28"/>
          <w:u w:val="single"/>
        </w:rPr>
        <w:t>Дошкольное воспитание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специальности </w:t>
      </w:r>
      <w:r w:rsidRPr="00445ADA">
        <w:rPr>
          <w:rFonts w:eastAsia="Times New Roman" w:cs="Times New Roman"/>
          <w:color w:val="000000"/>
          <w:sz w:val="28"/>
          <w:szCs w:val="28"/>
          <w:u w:val="single"/>
        </w:rPr>
        <w:t>Дошкольное образование</w:t>
      </w:r>
      <w:r>
        <w:rPr>
          <w:rFonts w:eastAsia="Times New Roman" w:cs="Times New Roman"/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68BCFAC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34ED3B9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0C1422D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7B8A60A8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3.3.3. Соблюдать требования охраны труда.</w:t>
      </w:r>
    </w:p>
    <w:p w14:paraId="06AB0E3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B4CE6C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03E9D9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7D2F708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1FFDF039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6BF58D8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46425CB0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AEAA912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17650F4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B07D47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166E792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272A8F2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26C3B28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3CA49E3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2566E2A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18CCEDF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14:paraId="08D2ED9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1EF24653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F80B10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71408FA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6A91178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4F1020B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38C379D3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E2564B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B95FB9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03E1259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F6C2756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232DF665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355246C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0710739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кабели электропитания, удлинители, сетевые фильтры должны находиться с тыльной стороны рабочего места;</w:t>
      </w:r>
    </w:p>
    <w:p w14:paraId="7B2ED68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14:paraId="4EE88ABA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B1214">
        <w:rPr>
          <w:rFonts w:eastAsia="Times New Roman" w:cs="Times New Roman"/>
          <w:color w:val="000000"/>
          <w:sz w:val="28"/>
          <w:szCs w:val="28"/>
        </w:rPr>
        <w:t xml:space="preserve">убедиться в том, что на устройствах ПК (системный блок, монитор, клавиатура)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B1214">
        <w:rPr>
          <w:rFonts w:eastAsia="Times New Roman" w:cs="Times New Roman"/>
          <w:color w:val="000000"/>
          <w:sz w:val="28"/>
          <w:szCs w:val="28"/>
        </w:rPr>
        <w:t>не располагаются сосуды с жидкостями, сыпучими материалами (чай, кофе, сок, вода и пр.);</w:t>
      </w:r>
      <w:proofErr w:type="gramEnd"/>
    </w:p>
    <w:p w14:paraId="4A1ED65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14:paraId="1C10A59D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14:paraId="45AE36C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6063"/>
      </w:tblGrid>
      <w:tr w:rsidR="008F3F52" w14:paraId="7325BAFE" w14:textId="77777777" w:rsidTr="000951C8">
        <w:trPr>
          <w:trHeight w:val="1450"/>
        </w:trPr>
        <w:tc>
          <w:tcPr>
            <w:tcW w:w="3287" w:type="dxa"/>
          </w:tcPr>
          <w:p w14:paraId="47773EDD" w14:textId="77777777" w:rsidR="008F3F52" w:rsidRDefault="008F3F52" w:rsidP="000951C8">
            <w:pPr>
              <w:pStyle w:val="TableParagraph"/>
              <w:spacing w:line="362" w:lineRule="auto"/>
              <w:ind w:left="550" w:right="539" w:firstLine="15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14:paraId="44B37954" w14:textId="77777777" w:rsidR="008F3F52" w:rsidRDefault="008F3F52" w:rsidP="000951C8">
            <w:pPr>
              <w:pStyle w:val="TableParagraph"/>
              <w:spacing w:line="320" w:lineRule="exact"/>
              <w:ind w:left="75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063" w:type="dxa"/>
          </w:tcPr>
          <w:p w14:paraId="34426B93" w14:textId="77777777" w:rsidR="008F3F52" w:rsidRDefault="008F3F52" w:rsidP="000951C8">
            <w:pPr>
              <w:pStyle w:val="TableParagraph"/>
              <w:spacing w:line="362" w:lineRule="auto"/>
              <w:ind w:left="1685" w:right="716" w:hanging="960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8F3F52" w14:paraId="79444F7B" w14:textId="77777777" w:rsidTr="000951C8">
        <w:trPr>
          <w:trHeight w:val="1935"/>
        </w:trPr>
        <w:tc>
          <w:tcPr>
            <w:tcW w:w="3287" w:type="dxa"/>
          </w:tcPr>
          <w:p w14:paraId="0983A540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</w:tc>
        <w:tc>
          <w:tcPr>
            <w:tcW w:w="6063" w:type="dxa"/>
          </w:tcPr>
          <w:p w14:paraId="1A674F36" w14:textId="77777777"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Провести первичный осмотр ноутбука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наличие </w:t>
            </w:r>
            <w:r>
              <w:rPr>
                <w:spacing w:val="-2"/>
                <w:sz w:val="28"/>
              </w:rPr>
              <w:t>внешних</w:t>
            </w:r>
            <w:r>
              <w:rPr>
                <w:spacing w:val="-68"/>
                <w:sz w:val="28"/>
              </w:rPr>
              <w:t xml:space="preserve">    </w:t>
            </w:r>
            <w:r>
              <w:rPr>
                <w:sz w:val="28"/>
              </w:rPr>
              <w:t>повреждений/неисправностей.</w:t>
            </w:r>
          </w:p>
          <w:p w14:paraId="08567E9F" w14:textId="77777777" w:rsidR="008F3F52" w:rsidRDefault="008F3F52" w:rsidP="000951C8">
            <w:pPr>
              <w:pStyle w:val="TableParagraph"/>
              <w:tabs>
                <w:tab w:val="left" w:pos="15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</w:tr>
      <w:tr w:rsidR="008F3F52" w14:paraId="61242591" w14:textId="77777777" w:rsidTr="000951C8">
        <w:trPr>
          <w:trHeight w:val="969"/>
        </w:trPr>
        <w:tc>
          <w:tcPr>
            <w:tcW w:w="3287" w:type="dxa"/>
          </w:tcPr>
          <w:p w14:paraId="4CAA2AF4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5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Клавиатура</w:t>
            </w:r>
          </w:p>
        </w:tc>
        <w:tc>
          <w:tcPr>
            <w:tcW w:w="6063" w:type="dxa"/>
          </w:tcPr>
          <w:p w14:paraId="373EA37D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клавиатуру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14:paraId="7912CBDF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  <w:tr w:rsidR="008F3F52" w14:paraId="6E8F0DEC" w14:textId="77777777" w:rsidTr="000951C8">
        <w:trPr>
          <w:trHeight w:val="965"/>
        </w:trPr>
        <w:tc>
          <w:tcPr>
            <w:tcW w:w="3287" w:type="dxa"/>
          </w:tcPr>
          <w:p w14:paraId="42C219BF" w14:textId="77777777" w:rsidR="008F3F52" w:rsidRDefault="008F3F52" w:rsidP="000951C8">
            <w:pPr>
              <w:pStyle w:val="TableParagraph"/>
              <w:tabs>
                <w:tab w:val="left" w:pos="37"/>
              </w:tabs>
              <w:spacing w:line="336" w:lineRule="exact"/>
              <w:ind w:left="37" w:firstLine="425"/>
              <w:rPr>
                <w:sz w:val="28"/>
              </w:rPr>
            </w:pPr>
            <w:r>
              <w:rPr>
                <w:sz w:val="28"/>
              </w:rPr>
              <w:t>Мышь</w:t>
            </w:r>
          </w:p>
        </w:tc>
        <w:tc>
          <w:tcPr>
            <w:tcW w:w="6063" w:type="dxa"/>
          </w:tcPr>
          <w:p w14:paraId="2B6287B5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Расположить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DFD03FD" w14:textId="77777777" w:rsidR="008F3F52" w:rsidRDefault="008F3F52" w:rsidP="000951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</w:tbl>
    <w:p w14:paraId="0116113F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6A050C3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F472F7F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8F5D43C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lastRenderedPageBreak/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9DBC502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F21B4F2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B276BE0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5262408C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E532256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76591129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отсутствии засветок, отражений и бликов на экране монитора;</w:t>
      </w:r>
    </w:p>
    <w:p w14:paraId="51F43C8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21C28014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</w:t>
      </w:r>
    </w:p>
    <w:p w14:paraId="3DB836DD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убедиться в правильном выполнении процедуры загрузки оборудования, правильных настройках.</w:t>
      </w:r>
    </w:p>
    <w:p w14:paraId="5F1D8D95" w14:textId="77777777" w:rsidR="008F3F52" w:rsidRPr="00FB1214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1214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BCD6A0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269E476" w14:textId="77777777" w:rsidR="008F3F52" w:rsidRDefault="008F3F52" w:rsidP="008F3F52">
      <w:pPr>
        <w:pStyle w:val="af6"/>
        <w:widowControl w:val="0"/>
        <w:tabs>
          <w:tab w:val="left" w:pos="0"/>
        </w:tabs>
        <w:autoSpaceDE w:val="0"/>
        <w:autoSpaceDN w:val="0"/>
        <w:spacing w:before="74" w:line="350" w:lineRule="auto"/>
        <w:ind w:left="0" w:right="123" w:firstLine="720"/>
        <w:jc w:val="both"/>
        <w:outlineLvl w:val="9"/>
        <w:rPr>
          <w:sz w:val="28"/>
        </w:rPr>
      </w:pPr>
      <w:r>
        <w:rPr>
          <w:sz w:val="28"/>
        </w:rPr>
        <w:t>Участнику запрещается приступать к выполнению конкурсного задания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обнаружении неисправности инструмента или оборудования. О замеченных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устранения </w:t>
      </w:r>
      <w:r>
        <w:rPr>
          <w:sz w:val="28"/>
        </w:rPr>
        <w:lastRenderedPageBreak/>
        <w:t>неполадок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конкурсному заданию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приступать.</w:t>
      </w:r>
    </w:p>
    <w:p w14:paraId="0F42D6C3" w14:textId="70C1A162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5" w:name="_heading=h.3dy6vkm"/>
      <w:bookmarkEnd w:id="5"/>
    </w:p>
    <w:p w14:paraId="4F591906" w14:textId="77777777" w:rsidR="00CF0718" w:rsidRDefault="00CF0718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GoBack"/>
      <w:bookmarkEnd w:id="6"/>
    </w:p>
    <w:p w14:paraId="1235A54C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2F131FC4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p w14:paraId="0BB65CCD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2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место;</w:t>
      </w:r>
    </w:p>
    <w:p w14:paraId="6E12D998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57" w:line="352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следить за тем, чтобы вентиляционные отверстия устройств ничем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закрыты;</w:t>
      </w:r>
    </w:p>
    <w:p w14:paraId="6432941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8"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14:paraId="03689B44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before="162" w:line="355" w:lineRule="auto"/>
        <w:ind w:left="0" w:right="117" w:firstLine="811"/>
        <w:jc w:val="both"/>
        <w:outlineLvl w:val="9"/>
        <w:rPr>
          <w:sz w:val="28"/>
        </w:rPr>
      </w:pPr>
      <w:r>
        <w:rPr>
          <w:sz w:val="28"/>
        </w:rPr>
        <w:t>соблюдать,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14:paraId="5F192FCE" w14:textId="77777777" w:rsidR="008F3F52" w:rsidRPr="007D77A5" w:rsidRDefault="008F3F52" w:rsidP="008F3F52">
      <w:pPr>
        <w:widowControl w:val="0"/>
        <w:tabs>
          <w:tab w:val="left" w:pos="1301"/>
        </w:tabs>
        <w:autoSpaceDE w:val="0"/>
        <w:autoSpaceDN w:val="0"/>
        <w:spacing w:before="10" w:line="240" w:lineRule="auto"/>
        <w:ind w:firstLine="709"/>
        <w:jc w:val="both"/>
        <w:outlineLvl w:val="9"/>
        <w:rPr>
          <w:sz w:val="28"/>
        </w:rPr>
      </w:pPr>
      <w:r w:rsidRPr="007D77A5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7D77A5">
        <w:rPr>
          <w:sz w:val="28"/>
        </w:rPr>
        <w:t>При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выполнении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конкурсных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заданий</w:t>
      </w:r>
      <w:r w:rsidRPr="007D77A5">
        <w:rPr>
          <w:spacing w:val="-6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уборке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рабочих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мест:</w:t>
      </w:r>
    </w:p>
    <w:p w14:paraId="644BE333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4" w:firstLine="811"/>
        <w:jc w:val="both"/>
        <w:outlineLvl w:val="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 отвлекать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14:paraId="4E5814E9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jc w:val="both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инструкцию;</w:t>
      </w:r>
    </w:p>
    <w:p w14:paraId="24271260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5" w:lineRule="auto"/>
        <w:ind w:left="0" w:right="126" w:firstLine="811"/>
        <w:jc w:val="both"/>
        <w:outlineLvl w:val="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падений;</w:t>
      </w:r>
    </w:p>
    <w:p w14:paraId="09F8BDA7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поддерживать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порядок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чистоту</w:t>
      </w:r>
      <w:r w:rsidRPr="007D77A5">
        <w:rPr>
          <w:spacing w:val="-2"/>
          <w:sz w:val="28"/>
        </w:rPr>
        <w:t xml:space="preserve"> </w:t>
      </w:r>
      <w:r w:rsidRPr="007D77A5">
        <w:rPr>
          <w:sz w:val="28"/>
        </w:rPr>
        <w:t>на</w:t>
      </w:r>
      <w:r w:rsidRPr="007D77A5">
        <w:rPr>
          <w:spacing w:val="-3"/>
          <w:sz w:val="28"/>
        </w:rPr>
        <w:t xml:space="preserve"> </w:t>
      </w:r>
      <w:r w:rsidRPr="007D77A5">
        <w:rPr>
          <w:sz w:val="28"/>
        </w:rPr>
        <w:t>рабочем</w:t>
      </w:r>
      <w:r w:rsidRPr="007D77A5">
        <w:rPr>
          <w:spacing w:val="-4"/>
          <w:sz w:val="28"/>
        </w:rPr>
        <w:t xml:space="preserve"> </w:t>
      </w:r>
      <w:r w:rsidRPr="007D77A5">
        <w:rPr>
          <w:sz w:val="28"/>
        </w:rPr>
        <w:t>месте;</w:t>
      </w:r>
    </w:p>
    <w:p w14:paraId="26905BCD" w14:textId="77777777" w:rsidR="008F3F52" w:rsidRPr="007D77A5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352" w:lineRule="auto"/>
        <w:ind w:left="0" w:right="126" w:firstLine="811"/>
        <w:jc w:val="both"/>
        <w:outlineLvl w:val="9"/>
        <w:rPr>
          <w:sz w:val="28"/>
        </w:rPr>
      </w:pPr>
      <w:r w:rsidRPr="007D77A5">
        <w:rPr>
          <w:sz w:val="28"/>
        </w:rPr>
        <w:t>рабочий</w:t>
      </w:r>
      <w:r w:rsidRPr="007D77A5">
        <w:rPr>
          <w:spacing w:val="27"/>
          <w:sz w:val="28"/>
        </w:rPr>
        <w:t xml:space="preserve"> </w:t>
      </w:r>
      <w:r w:rsidRPr="007D77A5">
        <w:rPr>
          <w:sz w:val="28"/>
        </w:rPr>
        <w:t>инструмент</w:t>
      </w:r>
      <w:r w:rsidRPr="007D77A5">
        <w:rPr>
          <w:spacing w:val="24"/>
          <w:sz w:val="28"/>
        </w:rPr>
        <w:t xml:space="preserve"> </w:t>
      </w:r>
      <w:r w:rsidRPr="007D77A5">
        <w:rPr>
          <w:sz w:val="28"/>
        </w:rPr>
        <w:t>располагать</w:t>
      </w:r>
      <w:r w:rsidRPr="007D77A5">
        <w:rPr>
          <w:spacing w:val="23"/>
          <w:sz w:val="28"/>
        </w:rPr>
        <w:t xml:space="preserve"> </w:t>
      </w:r>
      <w:r w:rsidRPr="007D77A5">
        <w:rPr>
          <w:sz w:val="28"/>
        </w:rPr>
        <w:t>таким</w:t>
      </w:r>
      <w:r w:rsidRPr="007D77A5">
        <w:rPr>
          <w:spacing w:val="19"/>
          <w:sz w:val="28"/>
        </w:rPr>
        <w:t xml:space="preserve"> </w:t>
      </w:r>
      <w:r w:rsidRPr="007D77A5">
        <w:rPr>
          <w:sz w:val="28"/>
        </w:rPr>
        <w:t>образом,</w:t>
      </w:r>
      <w:r w:rsidRPr="007D77A5">
        <w:rPr>
          <w:spacing w:val="26"/>
          <w:sz w:val="28"/>
        </w:rPr>
        <w:t xml:space="preserve"> </w:t>
      </w:r>
      <w:r w:rsidRPr="007D77A5">
        <w:rPr>
          <w:sz w:val="28"/>
        </w:rPr>
        <w:t>чтобы</w:t>
      </w:r>
      <w:r w:rsidRPr="007D77A5">
        <w:rPr>
          <w:spacing w:val="23"/>
          <w:sz w:val="28"/>
        </w:rPr>
        <w:t xml:space="preserve"> </w:t>
      </w:r>
      <w:r w:rsidRPr="007D77A5">
        <w:rPr>
          <w:sz w:val="28"/>
        </w:rPr>
        <w:t>исключалась</w:t>
      </w:r>
      <w:r w:rsidRPr="007D77A5">
        <w:rPr>
          <w:spacing w:val="-67"/>
          <w:sz w:val="28"/>
        </w:rPr>
        <w:t xml:space="preserve"> </w:t>
      </w:r>
      <w:r w:rsidRPr="007D77A5">
        <w:rPr>
          <w:sz w:val="28"/>
        </w:rPr>
        <w:t>возможность его скатывания</w:t>
      </w:r>
      <w:r w:rsidRPr="007D77A5">
        <w:rPr>
          <w:spacing w:val="1"/>
          <w:sz w:val="28"/>
        </w:rPr>
        <w:t xml:space="preserve"> </w:t>
      </w:r>
      <w:r w:rsidRPr="007D77A5">
        <w:rPr>
          <w:sz w:val="28"/>
        </w:rPr>
        <w:t>и</w:t>
      </w:r>
      <w:r w:rsidRPr="007D77A5">
        <w:rPr>
          <w:spacing w:val="-1"/>
          <w:sz w:val="28"/>
        </w:rPr>
        <w:t xml:space="preserve"> </w:t>
      </w:r>
      <w:r w:rsidRPr="007D77A5">
        <w:rPr>
          <w:sz w:val="28"/>
        </w:rPr>
        <w:t>падения;</w:t>
      </w:r>
    </w:p>
    <w:p w14:paraId="0B1EA0C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spacing w:line="240" w:lineRule="auto"/>
        <w:ind w:left="0" w:firstLine="811"/>
        <w:outlineLvl w:val="9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инструментом.</w:t>
      </w:r>
    </w:p>
    <w:p w14:paraId="310B2CA4" w14:textId="77777777" w:rsidR="008F3F52" w:rsidRDefault="008F3F52" w:rsidP="008F3F52">
      <w:pPr>
        <w:pStyle w:val="af6"/>
        <w:widowControl w:val="0"/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>
        <w:rPr>
          <w:sz w:val="28"/>
        </w:rPr>
        <w:t>Участнику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14:paraId="14BC5F74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интерфейсные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кабели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периферийных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14:paraId="19A6B0BF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3" w:firstLine="709"/>
        <w:jc w:val="both"/>
        <w:outlineLvl w:val="9"/>
        <w:rPr>
          <w:sz w:val="28"/>
        </w:rPr>
      </w:pPr>
      <w:r>
        <w:rPr>
          <w:sz w:val="28"/>
        </w:rPr>
        <w:lastRenderedPageBreak/>
        <w:t>класть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10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7"/>
          <w:sz w:val="28"/>
        </w:rPr>
        <w:t xml:space="preserve"> </w:t>
      </w:r>
      <w:r>
        <w:rPr>
          <w:sz w:val="28"/>
        </w:rPr>
        <w:t>папки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предметы;</w:t>
      </w:r>
    </w:p>
    <w:p w14:paraId="2AD74D6E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  <w:tab w:val="left" w:pos="2853"/>
          <w:tab w:val="left" w:pos="3218"/>
          <w:tab w:val="left" w:pos="4242"/>
          <w:tab w:val="left" w:pos="5306"/>
          <w:tab w:val="left" w:pos="6900"/>
          <w:tab w:val="left" w:pos="7809"/>
          <w:tab w:val="left" w:pos="9582"/>
        </w:tabs>
        <w:autoSpaceDE w:val="0"/>
        <w:autoSpaceDN w:val="0"/>
        <w:spacing w:before="8" w:line="352" w:lineRule="auto"/>
        <w:ind w:left="0" w:right="125" w:firstLine="709"/>
        <w:jc w:val="both"/>
        <w:outlineLvl w:val="9"/>
        <w:rPr>
          <w:sz w:val="28"/>
        </w:rPr>
      </w:pPr>
      <w:r>
        <w:rPr>
          <w:sz w:val="28"/>
        </w:rPr>
        <w:t xml:space="preserve">прикасаться к задней панели системного блока (процессора) </w:t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питании;</w:t>
      </w:r>
    </w:p>
    <w:p w14:paraId="20C237B9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отключать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55E087F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0" w:firstLine="709"/>
        <w:jc w:val="both"/>
        <w:outlineLvl w:val="9"/>
        <w:rPr>
          <w:sz w:val="28"/>
        </w:rPr>
      </w:pPr>
      <w:r>
        <w:rPr>
          <w:spacing w:val="-1"/>
          <w:sz w:val="28"/>
        </w:rPr>
        <w:t>допускать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попадание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влаги,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грязи,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сыпучих</w:t>
      </w:r>
      <w:r>
        <w:rPr>
          <w:spacing w:val="-1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14:paraId="21CD5E82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14:paraId="5EAF6F27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кожухами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оргтехники;</w:t>
      </w:r>
    </w:p>
    <w:p w14:paraId="0B48016A" w14:textId="77777777" w:rsidR="008F3F52" w:rsidRDefault="008F3F52" w:rsidP="008F3F52">
      <w:pPr>
        <w:pStyle w:val="af6"/>
        <w:widowControl w:val="0"/>
        <w:numPr>
          <w:ilvl w:val="1"/>
          <w:numId w:val="10"/>
        </w:numPr>
        <w:tabs>
          <w:tab w:val="left" w:pos="1170"/>
          <w:tab w:val="left" w:pos="1171"/>
        </w:tabs>
        <w:autoSpaceDE w:val="0"/>
        <w:autoSpaceDN w:val="0"/>
        <w:spacing w:before="162" w:line="240" w:lineRule="auto"/>
        <w:ind w:left="0" w:firstLine="709"/>
        <w:jc w:val="both"/>
        <w:outlineLvl w:val="9"/>
        <w:rPr>
          <w:sz w:val="28"/>
        </w:rPr>
      </w:pPr>
      <w:r>
        <w:rPr>
          <w:sz w:val="28"/>
        </w:rPr>
        <w:t>располагаться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см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монитора.</w:t>
      </w:r>
    </w:p>
    <w:p w14:paraId="646AF59B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65D1AB0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6CD5DAE7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33BD19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08E5846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815FDE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2EBA3227" w14:textId="77777777" w:rsidR="008F3F52" w:rsidRDefault="008F3F52" w:rsidP="008F3F52">
      <w:pPr>
        <w:pStyle w:val="aff2"/>
        <w:spacing w:before="163" w:line="360" w:lineRule="auto"/>
        <w:ind w:left="0" w:right="120" w:firstLine="709"/>
      </w:pPr>
      <w:r>
        <w:t>немедленно оповестить Главного эксперта и экспертов. При последующем</w:t>
      </w:r>
      <w:r>
        <w:rPr>
          <w:spacing w:val="1"/>
        </w:rPr>
        <w:t xml:space="preserve"> </w:t>
      </w:r>
      <w:r>
        <w:t>развитии событий следует руководствоваться указаниями Главного эксперта или</w:t>
      </w:r>
      <w:r>
        <w:rPr>
          <w:spacing w:val="1"/>
        </w:rPr>
        <w:t xml:space="preserve"> </w:t>
      </w:r>
      <w:r>
        <w:t>эксперта, заменяющего его. Приложить усилия для исключения состояния страха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паники.</w:t>
      </w:r>
    </w:p>
    <w:p w14:paraId="3822D497" w14:textId="77777777" w:rsidR="008F3F52" w:rsidRDefault="008F3F52" w:rsidP="008F3F52">
      <w:pPr>
        <w:pStyle w:val="aff2"/>
        <w:spacing w:line="360" w:lineRule="auto"/>
        <w:ind w:left="0" w:right="123" w:firstLine="709"/>
      </w:pPr>
      <w:bookmarkStart w:id="7" w:name="При_обнаружении_очага_возгорания_на_конк"/>
      <w:bookmarkEnd w:id="7"/>
      <w:r>
        <w:t>При обнаружении очага возгорания на конкурсной площадке необходимо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«зародыше»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14:paraId="2B427734" w14:textId="77777777" w:rsidR="008F3F52" w:rsidRDefault="008F3F52" w:rsidP="008F3F52">
      <w:pPr>
        <w:pStyle w:val="aff2"/>
        <w:spacing w:line="360" w:lineRule="auto"/>
        <w:ind w:left="0" w:right="115" w:firstLine="709"/>
      </w:pPr>
      <w:bookmarkStart w:id="8" w:name="При_возгорании_одежды_попытаться_сбросит"/>
      <w:bookmarkEnd w:id="8"/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возгорании</w:t>
      </w:r>
      <w:r>
        <w:rPr>
          <w:spacing w:val="-16"/>
        </w:rPr>
        <w:t xml:space="preserve"> </w:t>
      </w:r>
      <w:r>
        <w:rPr>
          <w:spacing w:val="-1"/>
        </w:rPr>
        <w:t>одежды</w:t>
      </w:r>
      <w:r>
        <w:rPr>
          <w:spacing w:val="-16"/>
        </w:rPr>
        <w:t xml:space="preserve"> </w:t>
      </w:r>
      <w:r>
        <w:t>попытаться</w:t>
      </w:r>
      <w:r>
        <w:rPr>
          <w:spacing w:val="-15"/>
        </w:rPr>
        <w:t xml:space="preserve"> </w:t>
      </w:r>
      <w:r>
        <w:t>сбросить</w:t>
      </w:r>
      <w:r>
        <w:rPr>
          <w:spacing w:val="-16"/>
        </w:rPr>
        <w:t xml:space="preserve"> </w:t>
      </w:r>
      <w:r>
        <w:t>ее.</w:t>
      </w:r>
      <w:r>
        <w:rPr>
          <w:spacing w:val="-17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удается,</w:t>
      </w:r>
      <w:r>
        <w:rPr>
          <w:spacing w:val="-68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перекатываясь,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пламя;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горящую</w:t>
      </w:r>
      <w:r>
        <w:rPr>
          <w:spacing w:val="1"/>
        </w:rPr>
        <w:t xml:space="preserve"> </w:t>
      </w:r>
      <w:r>
        <w:t>одежду куском плотной ткани, облиться водой, запрещается бежать – бег только</w:t>
      </w:r>
      <w:r>
        <w:rPr>
          <w:spacing w:val="1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горения.</w:t>
      </w:r>
    </w:p>
    <w:p w14:paraId="2FE3D145" w14:textId="77777777" w:rsidR="008F3F52" w:rsidRDefault="008F3F52" w:rsidP="008F3F52">
      <w:pPr>
        <w:pStyle w:val="aff2"/>
        <w:spacing w:line="362" w:lineRule="auto"/>
        <w:ind w:left="0" w:right="119" w:firstLine="709"/>
      </w:pPr>
      <w:bookmarkStart w:id="9" w:name="В_загоревшемся_помещении_не_следует_дожи"/>
      <w:bookmarkEnd w:id="9"/>
      <w:r>
        <w:lastRenderedPageBreak/>
        <w:t>В</w:t>
      </w:r>
      <w:r>
        <w:rPr>
          <w:spacing w:val="1"/>
        </w:rPr>
        <w:t xml:space="preserve"> </w:t>
      </w:r>
      <w:r>
        <w:t>загоревшемся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дожидаться,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6"/>
        </w:rPr>
        <w:t xml:space="preserve"> </w:t>
      </w:r>
      <w:r>
        <w:t>лечь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ползти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эвакуационного</w:t>
      </w:r>
      <w:r>
        <w:rPr>
          <w:spacing w:val="-5"/>
        </w:rPr>
        <w:t xml:space="preserve"> </w:t>
      </w:r>
      <w:r>
        <w:t>выхода</w:t>
      </w:r>
    </w:p>
    <w:p w14:paraId="51E01391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C5B70CD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7B033B1E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5FFD52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02A0F856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FE7B25F" w14:textId="77777777" w:rsidR="008F3F52" w:rsidRDefault="008F3F52" w:rsidP="008F3F5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heading=h.4d34og8"/>
      <w:bookmarkEnd w:id="10"/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66B2B975" w14:textId="77777777" w:rsidR="008F3F52" w:rsidRDefault="008F3F52" w:rsidP="008F3F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71819A43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место.</w:t>
      </w:r>
    </w:p>
    <w:p w14:paraId="1407F79A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58" w:line="240" w:lineRule="auto"/>
        <w:ind w:left="0" w:firstLine="709"/>
        <w:outlineLvl w:val="9"/>
        <w:rPr>
          <w:sz w:val="28"/>
        </w:rPr>
      </w:pPr>
      <w:bookmarkStart w:id="11" w:name="-_Убрать_со_стола_рабочие_материалы_в_от"/>
      <w:bookmarkEnd w:id="11"/>
      <w:r>
        <w:rPr>
          <w:sz w:val="28"/>
        </w:rPr>
        <w:t>Убрать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хранений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14:paraId="10B27AC8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bookmarkStart w:id="12" w:name="-_Отключить_инструмент_и_оборудование_от"/>
      <w:bookmarkEnd w:id="12"/>
      <w:r>
        <w:rPr>
          <w:sz w:val="28"/>
        </w:rPr>
        <w:t>Отключить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сети:</w:t>
      </w:r>
    </w:p>
    <w:p w14:paraId="2A1D0819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63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произвести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14:paraId="36CC7ED3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157" w:line="352" w:lineRule="auto"/>
        <w:ind w:left="0" w:right="124" w:firstLine="709"/>
        <w:outlineLvl w:val="9"/>
        <w:rPr>
          <w:sz w:val="28"/>
        </w:rPr>
      </w:pPr>
      <w:r>
        <w:rPr>
          <w:spacing w:val="-1"/>
          <w:sz w:val="28"/>
        </w:rPr>
        <w:t>отключить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14:paraId="5E2A3307" w14:textId="77777777" w:rsidR="008F3F52" w:rsidRDefault="008F3F52" w:rsidP="008F3F52">
      <w:pPr>
        <w:pStyle w:val="af6"/>
        <w:widowControl w:val="0"/>
        <w:numPr>
          <w:ilvl w:val="1"/>
          <w:numId w:val="11"/>
        </w:numPr>
        <w:tabs>
          <w:tab w:val="left" w:pos="1170"/>
          <w:tab w:val="left" w:pos="1171"/>
        </w:tabs>
        <w:autoSpaceDE w:val="0"/>
        <w:autoSpaceDN w:val="0"/>
        <w:spacing w:before="8" w:line="240" w:lineRule="auto"/>
        <w:ind w:left="0" w:firstLine="709"/>
        <w:outlineLvl w:val="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следовать указаниям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14:paraId="13F46D3C" w14:textId="77777777" w:rsidR="008F3F52" w:rsidRDefault="008F3F52" w:rsidP="008F3F52">
      <w:pPr>
        <w:pStyle w:val="af6"/>
        <w:widowControl w:val="0"/>
        <w:numPr>
          <w:ilvl w:val="0"/>
          <w:numId w:val="11"/>
        </w:numPr>
        <w:tabs>
          <w:tab w:val="left" w:pos="971"/>
        </w:tabs>
        <w:autoSpaceDE w:val="0"/>
        <w:autoSpaceDN w:val="0"/>
        <w:spacing w:before="162" w:line="240" w:lineRule="auto"/>
        <w:ind w:left="0" w:firstLine="709"/>
        <w:outlineLvl w:val="9"/>
        <w:rPr>
          <w:sz w:val="28"/>
        </w:rPr>
      </w:pPr>
      <w:bookmarkStart w:id="13" w:name="-_Инструмент_убрать_в_специально_предназ"/>
      <w:bookmarkEnd w:id="13"/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место.</w:t>
      </w:r>
    </w:p>
    <w:p w14:paraId="74103E89" w14:textId="2669D27B" w:rsidR="001A206B" w:rsidRPr="00CF0718" w:rsidRDefault="008F3F52" w:rsidP="00CF0718">
      <w:pPr>
        <w:pStyle w:val="af6"/>
        <w:widowControl w:val="0"/>
        <w:numPr>
          <w:ilvl w:val="0"/>
          <w:numId w:val="11"/>
        </w:numPr>
        <w:tabs>
          <w:tab w:val="left" w:pos="1071"/>
        </w:tabs>
        <w:autoSpaceDE w:val="0"/>
        <w:autoSpaceDN w:val="0"/>
        <w:spacing w:before="163" w:line="360" w:lineRule="auto"/>
        <w:ind w:left="0" w:right="124" w:firstLine="709"/>
        <w:jc w:val="both"/>
        <w:outlineLvl w:val="9"/>
        <w:rPr>
          <w:sz w:val="28"/>
        </w:rPr>
      </w:pPr>
      <w:bookmarkStart w:id="14" w:name="-_Сообщить_эксперту_о_выявленных_во_врем"/>
      <w:bookmarkEnd w:id="14"/>
      <w:r w:rsidRPr="00CF0718">
        <w:rPr>
          <w:sz w:val="28"/>
        </w:rPr>
        <w:t>Сообщить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эксперту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о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выявленных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во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время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выполнения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конкурсных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заданий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неполадках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и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неисправностях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оборудования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и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инструмента,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и</w:t>
      </w:r>
      <w:r w:rsidRPr="00CF0718">
        <w:rPr>
          <w:spacing w:val="1"/>
          <w:sz w:val="28"/>
        </w:rPr>
        <w:t xml:space="preserve"> </w:t>
      </w:r>
      <w:r w:rsidRPr="00CF0718">
        <w:rPr>
          <w:sz w:val="28"/>
        </w:rPr>
        <w:t>других</w:t>
      </w:r>
      <w:r w:rsidRPr="00CF0718">
        <w:rPr>
          <w:spacing w:val="-67"/>
          <w:sz w:val="28"/>
        </w:rPr>
        <w:t xml:space="preserve"> </w:t>
      </w:r>
      <w:r w:rsidRPr="00CF0718">
        <w:rPr>
          <w:sz w:val="28"/>
        </w:rPr>
        <w:t>факторах,</w:t>
      </w:r>
      <w:r w:rsidRPr="00CF0718">
        <w:rPr>
          <w:spacing w:val="-1"/>
          <w:sz w:val="28"/>
        </w:rPr>
        <w:t xml:space="preserve"> </w:t>
      </w:r>
      <w:r w:rsidRPr="00CF0718">
        <w:rPr>
          <w:sz w:val="28"/>
        </w:rPr>
        <w:t>влияющих</w:t>
      </w:r>
      <w:r w:rsidRPr="00CF0718">
        <w:rPr>
          <w:spacing w:val="-2"/>
          <w:sz w:val="28"/>
        </w:rPr>
        <w:t xml:space="preserve"> </w:t>
      </w:r>
      <w:r w:rsidRPr="00CF0718">
        <w:rPr>
          <w:sz w:val="28"/>
        </w:rPr>
        <w:t>на</w:t>
      </w:r>
      <w:r w:rsidRPr="00CF0718">
        <w:rPr>
          <w:spacing w:val="-1"/>
          <w:sz w:val="28"/>
        </w:rPr>
        <w:t xml:space="preserve"> </w:t>
      </w:r>
      <w:r w:rsidRPr="00CF0718">
        <w:rPr>
          <w:sz w:val="28"/>
        </w:rPr>
        <w:t>безопасность выполнения конкурсного задания.</w:t>
      </w:r>
    </w:p>
    <w:sectPr w:rsidR="001A206B" w:rsidRPr="00CF0718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4DEE7" w14:textId="77777777" w:rsidR="00D33EDB" w:rsidRDefault="00D33EDB">
      <w:pPr>
        <w:spacing w:line="240" w:lineRule="auto"/>
      </w:pPr>
      <w:r>
        <w:separator/>
      </w:r>
    </w:p>
  </w:endnote>
  <w:endnote w:type="continuationSeparator" w:id="0">
    <w:p w14:paraId="73A7FF40" w14:textId="77777777" w:rsidR="00D33EDB" w:rsidRDefault="00D33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F0718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ED897" w14:textId="77777777" w:rsidR="00D33EDB" w:rsidRDefault="00D33EDB">
      <w:pPr>
        <w:spacing w:line="240" w:lineRule="auto"/>
      </w:pPr>
      <w:r>
        <w:separator/>
      </w:r>
    </w:p>
  </w:footnote>
  <w:footnote w:type="continuationSeparator" w:id="0">
    <w:p w14:paraId="6570833C" w14:textId="77777777" w:rsidR="00D33EDB" w:rsidRDefault="00D33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6F6011C"/>
    <w:multiLevelType w:val="hybridMultilevel"/>
    <w:tmpl w:val="7F68563C"/>
    <w:lvl w:ilvl="0" w:tplc="91B43C6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45AA10DC">
      <w:numFmt w:val="bullet"/>
      <w:lvlText w:val=""/>
      <w:lvlJc w:val="left"/>
      <w:pPr>
        <w:ind w:left="11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F8CB8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DAFA6B8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811201FA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40603146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DBC01388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AEC8D22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E93C498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572591B"/>
    <w:multiLevelType w:val="hybridMultilevel"/>
    <w:tmpl w:val="7622564C"/>
    <w:lvl w:ilvl="0" w:tplc="8594E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60906"/>
    <w:rsid w:val="008A0253"/>
    <w:rsid w:val="008F3F52"/>
    <w:rsid w:val="009269AB"/>
    <w:rsid w:val="00940A53"/>
    <w:rsid w:val="00A7162A"/>
    <w:rsid w:val="00A74F0F"/>
    <w:rsid w:val="00A8114D"/>
    <w:rsid w:val="00B366B4"/>
    <w:rsid w:val="00CF0718"/>
    <w:rsid w:val="00D33EDB"/>
    <w:rsid w:val="00EF13A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8F3F52"/>
    <w:pPr>
      <w:widowControl w:val="0"/>
      <w:autoSpaceDE w:val="0"/>
      <w:autoSpaceDN w:val="0"/>
      <w:spacing w:line="240" w:lineRule="auto"/>
      <w:ind w:left="109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styleId="aff2">
    <w:name w:val="Body Text"/>
    <w:basedOn w:val="a"/>
    <w:link w:val="aff3"/>
    <w:uiPriority w:val="1"/>
    <w:qFormat/>
    <w:rsid w:val="008F3F52"/>
    <w:pPr>
      <w:widowControl w:val="0"/>
      <w:autoSpaceDE w:val="0"/>
      <w:autoSpaceDN w:val="0"/>
      <w:spacing w:line="240" w:lineRule="auto"/>
      <w:ind w:left="100" w:firstLine="710"/>
      <w:jc w:val="both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8F3F5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8F3F52"/>
    <w:pPr>
      <w:widowControl w:val="0"/>
      <w:autoSpaceDE w:val="0"/>
      <w:autoSpaceDN w:val="0"/>
      <w:spacing w:line="240" w:lineRule="auto"/>
      <w:ind w:left="109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paragraph" w:styleId="aff2">
    <w:name w:val="Body Text"/>
    <w:basedOn w:val="a"/>
    <w:link w:val="aff3"/>
    <w:uiPriority w:val="1"/>
    <w:qFormat/>
    <w:rsid w:val="008F3F52"/>
    <w:pPr>
      <w:widowControl w:val="0"/>
      <w:autoSpaceDE w:val="0"/>
      <w:autoSpaceDN w:val="0"/>
      <w:spacing w:line="240" w:lineRule="auto"/>
      <w:ind w:left="100" w:firstLine="710"/>
      <w:jc w:val="both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8F3F5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Ольга</cp:lastModifiedBy>
  <cp:revision>8</cp:revision>
  <dcterms:created xsi:type="dcterms:W3CDTF">2023-10-10T08:16:00Z</dcterms:created>
  <dcterms:modified xsi:type="dcterms:W3CDTF">2025-01-21T13:22:00Z</dcterms:modified>
</cp:coreProperties>
</file>