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Pr="007768B1" w:rsidRDefault="00584FB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cs="Times New Roman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52"/>
          <w:szCs w:val="52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  <w:sz w:val="48"/>
          <w:szCs w:val="48"/>
        </w:rPr>
      </w:pP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7768B1"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1A206B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7768B1">
        <w:rPr>
          <w:rFonts w:eastAsia="Times New Roman" w:cs="Times New Roman"/>
          <w:color w:val="000000"/>
          <w:sz w:val="40"/>
          <w:szCs w:val="40"/>
        </w:rPr>
        <w:t>к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омпетенция «</w:t>
      </w:r>
      <w:r w:rsidR="006B389A" w:rsidRPr="007768B1">
        <w:rPr>
          <w:rFonts w:eastAsia="Times New Roman" w:cs="Times New Roman"/>
          <w:color w:val="000000"/>
          <w:sz w:val="40"/>
          <w:szCs w:val="40"/>
        </w:rPr>
        <w:t>Лабораторный химический анализ</w:t>
      </w:r>
      <w:r w:rsidR="00A8114D" w:rsidRPr="007768B1">
        <w:rPr>
          <w:rFonts w:eastAsia="Times New Roman" w:cs="Times New Roman"/>
          <w:color w:val="000000"/>
          <w:sz w:val="40"/>
          <w:szCs w:val="40"/>
        </w:rPr>
        <w:t>»</w:t>
      </w:r>
    </w:p>
    <w:p w:rsidR="00054EFF" w:rsidRPr="00054EFF" w:rsidRDefault="00054EFF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i/>
          <w:iCs/>
          <w:color w:val="000000"/>
          <w:sz w:val="40"/>
          <w:szCs w:val="40"/>
        </w:rPr>
      </w:pPr>
      <w:r w:rsidRPr="00054EFF">
        <w:rPr>
          <w:rFonts w:eastAsia="Times New Roman" w:cs="Times New Roman"/>
          <w:i/>
          <w:iCs/>
          <w:color w:val="000000"/>
          <w:sz w:val="40"/>
          <w:szCs w:val="40"/>
        </w:rPr>
        <w:t>Основная</w:t>
      </w:r>
    </w:p>
    <w:p w:rsidR="000F4013" w:rsidRPr="007768B1" w:rsidRDefault="002734E5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iCs/>
          <w:sz w:val="40"/>
          <w:szCs w:val="40"/>
        </w:rPr>
        <w:t>Региональный этап ч</w:t>
      </w:r>
      <w:r w:rsidR="000F4013" w:rsidRPr="007768B1">
        <w:rPr>
          <w:rFonts w:eastAsia="Times New Roman" w:cs="Times New Roman"/>
          <w:color w:val="000000"/>
          <w:sz w:val="40"/>
          <w:szCs w:val="40"/>
        </w:rPr>
        <w:t>емпионата по профессиональному мастерству «Профессионалы»</w:t>
      </w:r>
      <w:r w:rsidR="00874851">
        <w:rPr>
          <w:rFonts w:eastAsia="Times New Roman" w:cs="Times New Roman"/>
          <w:color w:val="000000"/>
          <w:sz w:val="40"/>
          <w:szCs w:val="40"/>
        </w:rPr>
        <w:t xml:space="preserve"> в 202</w:t>
      </w:r>
      <w:r w:rsidR="009E6F07">
        <w:rPr>
          <w:rFonts w:eastAsia="Times New Roman" w:cs="Times New Roman"/>
          <w:color w:val="000000"/>
          <w:sz w:val="40"/>
          <w:szCs w:val="40"/>
        </w:rPr>
        <w:t>5</w:t>
      </w:r>
      <w:r w:rsidR="00874851">
        <w:rPr>
          <w:rFonts w:eastAsia="Times New Roman" w:cs="Times New Roman"/>
          <w:color w:val="000000"/>
          <w:sz w:val="40"/>
          <w:szCs w:val="40"/>
        </w:rPr>
        <w:t xml:space="preserve"> г</w:t>
      </w: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40"/>
          <w:szCs w:val="40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7768B1" w:rsidRPr="007768B1" w:rsidRDefault="007768B1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65"/>
          <w:tab w:val="center" w:pos="4960"/>
        </w:tabs>
        <w:spacing w:line="276" w:lineRule="auto"/>
        <w:contextualSpacing/>
        <w:jc w:val="center"/>
        <w:rPr>
          <w:rFonts w:eastAsia="Times New Roman" w:cs="Times New Roman"/>
          <w:color w:val="000000"/>
          <w:sz w:val="28"/>
          <w:szCs w:val="28"/>
        </w:rPr>
        <w:sectPr w:rsidR="007768B1" w:rsidRPr="007768B1">
          <w:footerReference w:type="default" r:id="rId9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  <w:r w:rsidRPr="007768B1">
        <w:rPr>
          <w:rFonts w:eastAsia="Times New Roman" w:cs="Times New Roman"/>
          <w:color w:val="000000"/>
          <w:sz w:val="28"/>
          <w:szCs w:val="28"/>
        </w:rPr>
        <w:t>202</w:t>
      </w:r>
      <w:r w:rsidR="009E6F07">
        <w:rPr>
          <w:rFonts w:eastAsia="Times New Roman" w:cs="Times New Roman"/>
          <w:color w:val="000000"/>
          <w:sz w:val="28"/>
          <w:szCs w:val="28"/>
        </w:rPr>
        <w:t>5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</w:t>
      </w:r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Content>
        <w:p w:rsidR="001A206B" w:rsidRPr="007768B1" w:rsidRDefault="008C6AA8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r w:rsidRPr="007768B1">
            <w:rPr>
              <w:rFonts w:cs="Times New Roman"/>
              <w:sz w:val="28"/>
              <w:szCs w:val="28"/>
            </w:rPr>
            <w:fldChar w:fldCharType="begin"/>
          </w:r>
          <w:r w:rsidR="00A8114D" w:rsidRPr="007768B1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7768B1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7768B1" w:rsidRDefault="008C6AA8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7768B1" w:rsidRDefault="008C6AA8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4</w:t>
          </w:r>
        </w:p>
        <w:p w:rsidR="001A206B" w:rsidRPr="007768B1" w:rsidRDefault="008C6AA8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F15D7A" w:rsidRPr="007768B1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 xml:space="preserve">                                                    </w:t>
          </w:r>
          <w:r w:rsidR="00F15D7A" w:rsidRPr="007768B1">
            <w:rPr>
              <w:rFonts w:cs="Times New Roman"/>
              <w:sz w:val="28"/>
              <w:szCs w:val="28"/>
            </w:rPr>
            <w:t>5</w:t>
          </w:r>
        </w:p>
        <w:p w:rsidR="001A206B" w:rsidRPr="007768B1" w:rsidRDefault="008C6AA8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:rsidR="001A206B" w:rsidRPr="007768B1" w:rsidRDefault="008C6AA8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hyperlink>
        </w:p>
        <w:p w:rsidR="001A206B" w:rsidRPr="007768B1" w:rsidRDefault="008C6AA8" w:rsidP="007934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contextualSpacing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7768B1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F15D7A" w:rsidRPr="007768B1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hyperlink>
          <w:r w:rsidRPr="007768B1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7768B1">
        <w:rPr>
          <w:rFonts w:cs="Times New Roman"/>
          <w:sz w:val="28"/>
          <w:szCs w:val="28"/>
        </w:rPr>
        <w:br w:type="page" w:clear="all"/>
      </w:r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  <w:r w:rsidRPr="007768B1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 w:rsidRPr="007768B1"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 w:rsidRPr="007768B1"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2734E5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34E5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по профессиональному мастерству «Профессионалы» в 20</w:t>
      </w:r>
      <w:r w:rsidR="0000032D">
        <w:rPr>
          <w:rFonts w:eastAsia="Times New Roman" w:cs="Times New Roman"/>
          <w:color w:val="000000"/>
          <w:sz w:val="28"/>
          <w:szCs w:val="28"/>
        </w:rPr>
        <w:t>2</w:t>
      </w:r>
      <w:r w:rsidR="002734E5">
        <w:rPr>
          <w:rFonts w:eastAsia="Times New Roman" w:cs="Times New Roman"/>
          <w:color w:val="000000"/>
          <w:sz w:val="28"/>
          <w:szCs w:val="28"/>
        </w:rPr>
        <w:t>5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г. (далее Чемпионата).</w:t>
      </w:r>
    </w:p>
    <w:p w:rsidR="000F4013" w:rsidRPr="007768B1" w:rsidRDefault="000F4013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2734E5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34E5"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 w:rsidR="002734E5">
        <w:rPr>
          <w:rFonts w:eastAsia="Times New Roman" w:cs="Times New Roman"/>
          <w:color w:val="000000"/>
          <w:sz w:val="28"/>
          <w:szCs w:val="28"/>
        </w:rPr>
        <w:t>25</w:t>
      </w:r>
      <w:r w:rsidR="002734E5" w:rsidRPr="007768B1">
        <w:rPr>
          <w:rFonts w:eastAsia="Times New Roman" w:cs="Times New Roman"/>
          <w:color w:val="000000"/>
          <w:sz w:val="28"/>
          <w:szCs w:val="28"/>
        </w:rPr>
        <w:t xml:space="preserve"> г.</w:t>
      </w:r>
      <w:r w:rsidR="002734E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компетенции «Лабораторный химический анализ». </w:t>
      </w: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Pr="007768B1" w:rsidRDefault="00A8114D" w:rsidP="000003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DB7805" w:rsidRPr="007768B1" w:rsidRDefault="00A8114D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934C7">
        <w:rPr>
          <w:sz w:val="28"/>
          <w:szCs w:val="28"/>
        </w:rPr>
        <w:t>2.1.2.</w:t>
      </w:r>
      <w:r w:rsidR="00DB7805" w:rsidRPr="007934C7">
        <w:rPr>
          <w:sz w:val="28"/>
          <w:szCs w:val="28"/>
        </w:rPr>
        <w:t xml:space="preserve"> </w:t>
      </w:r>
      <w:hyperlink r:id="rId10" w:anchor="l0" w:tgtFrame="_blank" w:history="1">
        <w:r w:rsidR="00DB7805" w:rsidRPr="007934C7">
          <w:rPr>
            <w:sz w:val="28"/>
            <w:szCs w:val="28"/>
          </w:rPr>
          <w:t>ГОСТ 12.0.004-90</w:t>
        </w:r>
      </w:hyperlink>
      <w:r w:rsidR="00DB7805" w:rsidRPr="007768B1">
        <w:rPr>
          <w:sz w:val="28"/>
          <w:szCs w:val="28"/>
        </w:rPr>
        <w:t xml:space="preserve">. Организация обучения </w:t>
      </w:r>
      <w:proofErr w:type="gramStart"/>
      <w:r w:rsidR="00DB7805" w:rsidRPr="007768B1">
        <w:rPr>
          <w:sz w:val="28"/>
          <w:szCs w:val="28"/>
        </w:rPr>
        <w:t>работающих</w:t>
      </w:r>
      <w:proofErr w:type="gramEnd"/>
      <w:r w:rsidR="00DB7805" w:rsidRPr="007768B1">
        <w:rPr>
          <w:sz w:val="28"/>
          <w:szCs w:val="28"/>
        </w:rPr>
        <w:t xml:space="preserve"> безопасности труда. Общие положения.</w:t>
      </w:r>
    </w:p>
    <w:p w:rsidR="00DB7805" w:rsidRPr="007768B1" w:rsidRDefault="00DB7805" w:rsidP="0000032D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7768B1">
        <w:rPr>
          <w:sz w:val="28"/>
          <w:szCs w:val="28"/>
        </w:rPr>
        <w:t xml:space="preserve">2.1.3. </w:t>
      </w:r>
      <w:hyperlink r:id="rId11" w:anchor="l0" w:tgtFrame="_blank" w:history="1">
        <w:r w:rsidRPr="007768B1">
          <w:rPr>
            <w:sz w:val="28"/>
            <w:szCs w:val="28"/>
          </w:rPr>
          <w:t>ГОСТ 12.1.004-91</w:t>
        </w:r>
      </w:hyperlink>
      <w:r w:rsidRPr="007768B1">
        <w:rPr>
          <w:sz w:val="28"/>
          <w:szCs w:val="28"/>
        </w:rPr>
        <w:t>. Пожарная безопасность. Общие требования.</w:t>
      </w:r>
    </w:p>
    <w:p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2.1.4.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2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12.1.005-88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ССБТ. Общие санитарно-гигиенические требования к воздуху рабочей зоны.</w:t>
      </w:r>
    </w:p>
    <w:p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2.1.5. </w:t>
      </w:r>
      <w:hyperlink r:id="rId13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12.1.007-76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Вредные вещества. Классификация и общие требования безопасности.</w:t>
      </w:r>
      <w:bookmarkStart w:id="3" w:name="l203"/>
      <w:bookmarkEnd w:id="3"/>
    </w:p>
    <w:p w:rsidR="00DB7805" w:rsidRPr="007768B1" w:rsidRDefault="00DB7805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2.1.6.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hyperlink r:id="rId14" w:anchor="l0" w:tgtFrame="_blank" w:history="1">
        <w:r w:rsidRPr="007768B1">
          <w:rPr>
            <w:rFonts w:eastAsia="Times New Roman" w:cs="Times New Roman"/>
            <w:position w:val="0"/>
            <w:sz w:val="28"/>
            <w:szCs w:val="28"/>
          </w:rPr>
          <w:t>ГОСТ 12.1.010-76</w:t>
        </w:r>
      </w:hyperlink>
      <w:r w:rsidRPr="007768B1">
        <w:rPr>
          <w:rFonts w:eastAsia="Times New Roman" w:cs="Times New Roman"/>
          <w:position w:val="0"/>
          <w:sz w:val="28"/>
          <w:szCs w:val="28"/>
        </w:rPr>
        <w:t>. Взрывобезопасность. Общие требования.</w:t>
      </w:r>
      <w:bookmarkStart w:id="4" w:name="l110"/>
      <w:bookmarkEnd w:id="4"/>
    </w:p>
    <w:p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>2.1.7.</w:t>
      </w:r>
      <w:r w:rsidR="0000032D">
        <w:rPr>
          <w:rFonts w:eastAsia="Times New Roman" w:cs="Times New Roman"/>
          <w:position w:val="0"/>
          <w:sz w:val="28"/>
          <w:szCs w:val="28"/>
        </w:rPr>
        <w:t xml:space="preserve">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12.4.103-83. Одежда специальная защитная, средства индивидуальной защиты ног и рук.</w:t>
      </w:r>
      <w:bookmarkStart w:id="5" w:name="l204"/>
      <w:bookmarkEnd w:id="5"/>
    </w:p>
    <w:p w:rsidR="00DB7805" w:rsidRPr="007768B1" w:rsidRDefault="00F15D7A" w:rsidP="0000032D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outlineLvl w:val="9"/>
        <w:rPr>
          <w:rFonts w:eastAsia="Times New Roman"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position w:val="0"/>
          <w:sz w:val="28"/>
          <w:szCs w:val="28"/>
        </w:rPr>
        <w:t xml:space="preserve">2.1.8. </w:t>
      </w:r>
      <w:r w:rsidR="00DB7805" w:rsidRPr="007768B1">
        <w:rPr>
          <w:rFonts w:eastAsia="Times New Roman" w:cs="Times New Roman"/>
          <w:position w:val="0"/>
          <w:sz w:val="28"/>
          <w:szCs w:val="28"/>
        </w:rPr>
        <w:t>ГОСТ 3885-73. Реактивы и особо чистые вещества. Правила приемки, отбор проб, фасовка, упаковка и маркировка.</w:t>
      </w:r>
      <w:bookmarkStart w:id="6" w:name="l111"/>
      <w:bookmarkEnd w:id="6"/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2et92p0"/>
      <w:bookmarkEnd w:id="7"/>
      <w:r w:rsidRPr="007768B1"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7768B1">
        <w:rPr>
          <w:rFonts w:eastAsia="Times New Roman" w:cs="Times New Roman"/>
          <w:color w:val="000000"/>
          <w:sz w:val="28"/>
          <w:szCs w:val="28"/>
        </w:rPr>
        <w:t xml:space="preserve">К выполнению конкурсного задания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по компетенции «Лабораторный химический анализ</w:t>
      </w:r>
      <w:r w:rsidRPr="007768B1">
        <w:rPr>
          <w:rFonts w:eastAsia="Times New Roman" w:cs="Times New Roman"/>
          <w:color w:val="000000"/>
          <w:sz w:val="28"/>
          <w:szCs w:val="28"/>
        </w:rPr>
        <w:t>» допускаются участники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 xml:space="preserve"> лаборант химического анализа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6B389A" w:rsidRPr="007768B1">
        <w:rPr>
          <w:rFonts w:eastAsia="Times New Roman" w:cs="Times New Roman"/>
          <w:color w:val="000000"/>
          <w:sz w:val="28"/>
          <w:szCs w:val="28"/>
        </w:rPr>
        <w:t>определению оптимальных средств и методов анализа природных и промышленных</w:t>
      </w:r>
      <w:proofErr w:type="gramEnd"/>
      <w:r w:rsidR="006B389A" w:rsidRPr="007768B1">
        <w:rPr>
          <w:rFonts w:eastAsia="Times New Roman" w:cs="Times New Roman"/>
          <w:color w:val="000000"/>
          <w:sz w:val="28"/>
          <w:szCs w:val="28"/>
        </w:rPr>
        <w:t xml:space="preserve"> материалов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Pr="007768B1">
        <w:rPr>
          <w:rFonts w:eastAsia="Times New Roman" w:cs="Times New Roman"/>
          <w:color w:val="000000"/>
          <w:sz w:val="28"/>
          <w:szCs w:val="28"/>
        </w:rPr>
        <w:t>обязан: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Финале</w:t>
      </w:r>
      <w:r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3.2.2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7768B1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:rsidR="001A206B" w:rsidRPr="007768B1" w:rsidRDefault="00A8114D" w:rsidP="007934C7">
      <w:pPr>
        <w:pStyle w:val="af6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и применять средства индивидуальной защиты: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3.7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</w:t>
      </w:r>
      <w:proofErr w:type="gramStart"/>
      <w:r w:rsidR="00A8114D" w:rsidRPr="007768B1">
        <w:rPr>
          <w:rFonts w:eastAsia="Times New Roman" w:cs="Times New Roman"/>
          <w:color w:val="000000"/>
          <w:sz w:val="28"/>
          <w:szCs w:val="28"/>
        </w:rPr>
        <w:t>на</w:t>
      </w:r>
      <w:proofErr w:type="gramEnd"/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proofErr w:type="gramEnd"/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0F4013" w:rsidRPr="007768B1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 w:rsidRPr="007768B1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1A206B" w:rsidRPr="007934C7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0"/>
        </w:tabs>
        <w:spacing w:line="24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tyjcwt"/>
      <w:bookmarkEnd w:id="8"/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4.1</w:t>
      </w:r>
      <w:proofErr w:type="gramStart"/>
      <w:r w:rsidRPr="007768B1">
        <w:rPr>
          <w:rFonts w:eastAsia="Times New Roman" w:cs="Times New Roman"/>
          <w:color w:val="000000"/>
          <w:sz w:val="28"/>
          <w:szCs w:val="28"/>
        </w:rPr>
        <w:t xml:space="preserve"> П</w:t>
      </w:r>
      <w:proofErr w:type="gramEnd"/>
      <w:r w:rsidRPr="007768B1">
        <w:rPr>
          <w:rFonts w:eastAsia="Times New Roman" w:cs="Times New Roman"/>
          <w:color w:val="000000"/>
          <w:sz w:val="28"/>
          <w:szCs w:val="28"/>
        </w:rPr>
        <w:t>еред началом выполнения работ конкурсант обязан:</w:t>
      </w:r>
    </w:p>
    <w:p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манжеты рукавов, заправить одежду и халат застегнуть на все пуговицы, надеть головной убор, подготовить перчатки и защитные очки (описать СИЗ исходя из конкурсного задания).</w:t>
      </w:r>
    </w:p>
    <w:p w:rsidR="00623118" w:rsidRPr="007768B1" w:rsidRDefault="00623118" w:rsidP="007934C7">
      <w:pPr>
        <w:pStyle w:val="af6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:rsidR="00623118" w:rsidRPr="007768B1" w:rsidRDefault="00623118" w:rsidP="007934C7">
      <w:pPr>
        <w:pStyle w:val="af6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убедиться в достаточности освещенности;</w:t>
      </w:r>
    </w:p>
    <w:p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lastRenderedPageBreak/>
        <w:t>проверить (визуально) правильность подключения инструмента и оборудования в электросеть;</w:t>
      </w:r>
    </w:p>
    <w:p w:rsidR="007A10CB" w:rsidRPr="007768B1" w:rsidRDefault="007A10CB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наличие и целость стеклянной посуды, бюреток, пипеток, исправность электроприборов и их заземление, состояние титровальных столов, достаточность реактивов и реагентов;</w:t>
      </w:r>
    </w:p>
    <w:p w:rsidR="00623118" w:rsidRPr="007768B1" w:rsidRDefault="00623118" w:rsidP="007934C7">
      <w:pPr>
        <w:pStyle w:val="af6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623118" w:rsidRPr="007768B1" w:rsidRDefault="007A10CB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4.2</w:t>
      </w:r>
      <w:r w:rsidR="00623118" w:rsidRPr="007768B1">
        <w:rPr>
          <w:rFonts w:cs="Times New Roman"/>
          <w:sz w:val="28"/>
          <w:szCs w:val="28"/>
        </w:rPr>
        <w:t xml:space="preserve">. Подготовить инструмент и </w:t>
      </w:r>
      <w:r w:rsidR="007934C7" w:rsidRPr="007768B1">
        <w:rPr>
          <w:rFonts w:cs="Times New Roman"/>
          <w:sz w:val="28"/>
          <w:szCs w:val="28"/>
        </w:rPr>
        <w:t>оборудование,</w:t>
      </w:r>
      <w:r w:rsidR="00623118" w:rsidRPr="007768B1">
        <w:rPr>
          <w:rFonts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3"/>
        <w:gridCol w:w="5995"/>
      </w:tblGrid>
      <w:tr w:rsidR="00623118" w:rsidRPr="007934C7" w:rsidTr="007934C7">
        <w:trPr>
          <w:tblHeader/>
          <w:jc w:val="center"/>
        </w:trPr>
        <w:tc>
          <w:tcPr>
            <w:tcW w:w="3293" w:type="dxa"/>
            <w:vAlign w:val="center"/>
          </w:tcPr>
          <w:p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5995" w:type="dxa"/>
            <w:vAlign w:val="center"/>
          </w:tcPr>
          <w:p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7934C7">
              <w:rPr>
                <w:rFonts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623118" w:rsidRPr="007934C7" w:rsidTr="007934C7">
        <w:trPr>
          <w:jc w:val="center"/>
        </w:trPr>
        <w:tc>
          <w:tcPr>
            <w:tcW w:w="3293" w:type="dxa"/>
            <w:vAlign w:val="center"/>
          </w:tcPr>
          <w:p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Весы аналитические, технические</w:t>
            </w:r>
          </w:p>
        </w:tc>
        <w:tc>
          <w:tcPr>
            <w:tcW w:w="5995" w:type="dxa"/>
            <w:vAlign w:val="center"/>
          </w:tcPr>
          <w:p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До взвешивания и после него показатели весов должны равняться нулю.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Помещать взвешиваемый предмет на середину чашек весов.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Порошковые вещества помещать на часовые стекла, в бюксы или в стаканчик.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Температура помещения, контейнера и образца должна быть одинаковой, чтобы не возникали воздушные потоки и влага на сосуде и на образце.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Высыхание образца или поглощение им влаги приводит к колебаниям его веса. Поэтому сосуды с образцами обязательно накрывать пробками, крышками.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7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Нельзя помещать на весы образцы предельной нормы и тяжелее.</w:t>
            </w:r>
          </w:p>
        </w:tc>
      </w:tr>
      <w:tr w:rsidR="00623118" w:rsidRPr="007934C7" w:rsidTr="007934C7">
        <w:trPr>
          <w:jc w:val="center"/>
        </w:trPr>
        <w:tc>
          <w:tcPr>
            <w:tcW w:w="3293" w:type="dxa"/>
            <w:vAlign w:val="center"/>
          </w:tcPr>
          <w:p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Электрические нагревательные приборы</w:t>
            </w:r>
          </w:p>
        </w:tc>
        <w:tc>
          <w:tcPr>
            <w:tcW w:w="5995" w:type="dxa"/>
            <w:vAlign w:val="center"/>
          </w:tcPr>
          <w:p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Не касайтесь нагревательной поверхности при ее нагреве и остывании.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Используйте средства индивидуальной защиты в соответствии с категорией опасности обрабатываемого материала, так как существует риск разбрызгивания и испарения жидкостей; выбросов; испарения токсичных или взрывоопасных газов.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включением проверяйте плиту на наличие повреждений. Не используйте поврежденное оборудование.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Не нагревайте материалы и пробы, чья температура воспламенения ниже установленного в </w:t>
            </w:r>
            <w:r w:rsidRPr="007934C7">
              <w:rPr>
                <w:rFonts w:cs="Times New Roman"/>
              </w:rPr>
              <w:lastRenderedPageBreak/>
              <w:t>плите предела максимальной температуры.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Учитывайте опасности, связанные с легко воспламеняющимися материалами; взрывоопасными материалами с низкой точкой кипения; повреждением стекла; перегревом материалов.</w:t>
            </w:r>
          </w:p>
          <w:p w:rsidR="00623118" w:rsidRPr="007934C7" w:rsidRDefault="00623118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Розетка электрической сети, в которую включается плита, должна иметь заземление.</w:t>
            </w:r>
          </w:p>
        </w:tc>
      </w:tr>
      <w:tr w:rsidR="002734E5" w:rsidRPr="007934C7" w:rsidTr="008D59F8">
        <w:trPr>
          <w:trHeight w:val="9213"/>
          <w:jc w:val="center"/>
        </w:trPr>
        <w:tc>
          <w:tcPr>
            <w:tcW w:w="3293" w:type="dxa"/>
            <w:vAlign w:val="center"/>
          </w:tcPr>
          <w:p w:rsidR="002734E5" w:rsidRPr="007934C7" w:rsidRDefault="002734E5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lastRenderedPageBreak/>
              <w:t>Спектрофотометр</w:t>
            </w:r>
          </w:p>
          <w:p w:rsidR="002734E5" w:rsidRPr="007934C7" w:rsidRDefault="002734E5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Кондуктометр</w:t>
            </w:r>
          </w:p>
          <w:p w:rsidR="002734E5" w:rsidRPr="007934C7" w:rsidRDefault="002734E5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Потенциометр</w:t>
            </w:r>
          </w:p>
        </w:tc>
        <w:tc>
          <w:tcPr>
            <w:tcW w:w="5995" w:type="dxa"/>
            <w:vAlign w:val="center"/>
          </w:tcPr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Перед началом работы с приборами внимательно изучите руководство по эксплуатации.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Руководство по эксплуатации должно храниться в доступном месте.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Соблюдайте все инструкции по безопасности на рабочем месте,</w:t>
            </w:r>
            <w:r w:rsidRPr="007934C7">
              <w:rPr>
                <w:rFonts w:cs="Times New Roman"/>
                <w:color w:val="FF0000"/>
              </w:rPr>
              <w:t xml:space="preserve"> </w:t>
            </w:r>
            <w:r w:rsidRPr="007934C7">
              <w:rPr>
                <w:rFonts w:cs="Times New Roman"/>
              </w:rPr>
              <w:t>правила и требования производственной гигиены труда: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К работе на приборах допускаются лица, знающие устройство и правила работы на них.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Подготовить к работе и проверить исправность оборудования, приборов, убедиться в их целостности.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Убедиться в наличии и целостности заземления у приборов.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переносить включенные электроприборы и оставлять их без надзора.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работать вблизи открытых токоведущих частей электроприборов и прикасаться к ним.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Запрещается загромождать подходы к электрическим приборам.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 случае перерыва в подачи электроэнергии все электроприборы должны быть немедленно выключены.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hd w:val="clear" w:color="auto" w:fill="FFFFFF"/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работе на приборах с использованием едких и токсичных веществ, следует проявлять осторожность при проведении лабораторных процедур.</w:t>
            </w:r>
          </w:p>
          <w:p w:rsidR="002734E5" w:rsidRPr="007934C7" w:rsidRDefault="002734E5" w:rsidP="007934C7">
            <w:pPr>
              <w:pStyle w:val="af6"/>
              <w:numPr>
                <w:ilvl w:val="0"/>
                <w:numId w:val="25"/>
              </w:numPr>
              <w:spacing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По окончании работы отключить приборы от электрической сети. При отключении из </w:t>
            </w:r>
            <w:proofErr w:type="spellStart"/>
            <w:r w:rsidRPr="007934C7">
              <w:rPr>
                <w:rFonts w:cs="Times New Roman"/>
              </w:rPr>
              <w:t>электророзетки</w:t>
            </w:r>
            <w:proofErr w:type="spellEnd"/>
            <w:r w:rsidRPr="007934C7">
              <w:rPr>
                <w:rFonts w:cs="Times New Roman"/>
              </w:rPr>
              <w:t xml:space="preserve"> не дергать за электрический шнур.</w:t>
            </w:r>
          </w:p>
        </w:tc>
      </w:tr>
      <w:tr w:rsidR="00623118" w:rsidRPr="007934C7" w:rsidTr="007934C7">
        <w:trPr>
          <w:trHeight w:val="473"/>
          <w:jc w:val="center"/>
        </w:trPr>
        <w:tc>
          <w:tcPr>
            <w:tcW w:w="3293" w:type="dxa"/>
            <w:vAlign w:val="center"/>
          </w:tcPr>
          <w:p w:rsidR="00623118" w:rsidRPr="007934C7" w:rsidRDefault="00623118" w:rsidP="007934C7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7934C7">
              <w:rPr>
                <w:rFonts w:cs="Times New Roman"/>
              </w:rPr>
              <w:t>Химическая посуда мерная, общего и специального назначения.</w:t>
            </w:r>
          </w:p>
        </w:tc>
        <w:tc>
          <w:tcPr>
            <w:tcW w:w="5995" w:type="dxa"/>
            <w:vAlign w:val="center"/>
          </w:tcPr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Вся химическая посуда раскладывается по ящикам и шкафам так, чтобы максимально исключить возможность битья стекла. При обращении со стеклянной посудой все</w:t>
            </w:r>
            <w:r w:rsidRPr="007934C7">
              <w:rPr>
                <w:rFonts w:cs="Times New Roman"/>
              </w:rPr>
              <w:softHyphen/>
              <w:t>гда нужно помнить о хрупкости стекла.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Посуда должна храниться только </w:t>
            </w:r>
            <w:proofErr w:type="gramStart"/>
            <w:r w:rsidRPr="007934C7">
              <w:rPr>
                <w:rFonts w:cs="Times New Roman"/>
              </w:rPr>
              <w:t>чистой</w:t>
            </w:r>
            <w:proofErr w:type="gramEnd"/>
            <w:r w:rsidRPr="007934C7">
              <w:rPr>
                <w:rFonts w:cs="Times New Roman"/>
              </w:rPr>
              <w:t>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При выборе метода </w:t>
            </w:r>
            <w:proofErr w:type="gramStart"/>
            <w:r w:rsidRPr="007934C7">
              <w:rPr>
                <w:rFonts w:cs="Times New Roman"/>
              </w:rPr>
              <w:t>мытья</w:t>
            </w:r>
            <w:proofErr w:type="gramEnd"/>
            <w:r w:rsidRPr="007934C7">
              <w:rPr>
                <w:rFonts w:cs="Times New Roman"/>
              </w:rPr>
              <w:t xml:space="preserve"> нужно учитывать </w:t>
            </w:r>
            <w:proofErr w:type="gramStart"/>
            <w:r w:rsidRPr="007934C7">
              <w:rPr>
                <w:rFonts w:cs="Times New Roman"/>
              </w:rPr>
              <w:t>какими</w:t>
            </w:r>
            <w:proofErr w:type="gramEnd"/>
            <w:r w:rsidRPr="007934C7">
              <w:rPr>
                <w:rFonts w:cs="Times New Roman"/>
              </w:rPr>
              <w:t xml:space="preserve"> веществами загрязнена посуда.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lastRenderedPageBreak/>
              <w:t>При работе с ершиком следует следить, чтобы его нижним концом не пробить дно или стенки сосуда.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После мытья посуда промывается проточной водой и затем споласкивается 3—4 раза дистиллированной водой.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отмывания загрязнений всегда используют самый простой и дешевый способ.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Мытье посуды с опасными и токсичными веществами следует проводить в вытяжном шкафу.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мытья пластмассовой посуды не используют силь</w:t>
            </w:r>
            <w:r w:rsidRPr="007934C7">
              <w:rPr>
                <w:rFonts w:cs="Times New Roman"/>
              </w:rPr>
              <w:softHyphen/>
              <w:t>ные окислители.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пластмассовой посуды проводят при темпера</w:t>
            </w:r>
            <w:r w:rsidRPr="007934C7">
              <w:rPr>
                <w:rFonts w:cs="Times New Roman"/>
              </w:rPr>
              <w:softHyphen/>
              <w:t>турах не выше 45 °С.</w:t>
            </w:r>
          </w:p>
          <w:p w:rsidR="00623118" w:rsidRPr="007934C7" w:rsidRDefault="00623118" w:rsidP="007934C7">
            <w:pPr>
              <w:pStyle w:val="afb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толстостенных сосудов проводят при темпе</w:t>
            </w:r>
            <w:r w:rsidRPr="007934C7">
              <w:rPr>
                <w:rFonts w:cs="Times New Roman"/>
              </w:rPr>
              <w:softHyphen/>
              <w:t>ратурах 60-70 °С.</w:t>
            </w:r>
          </w:p>
        </w:tc>
      </w:tr>
    </w:tbl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1A206B" w:rsidRPr="007768B1" w:rsidRDefault="00623118" w:rsidP="007934C7">
      <w:pPr>
        <w:pStyle w:val="af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1A206B" w:rsidRPr="007768B1" w:rsidRDefault="007A10C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4.4</w:t>
      </w:r>
      <w:r w:rsidR="00A8114D" w:rsidRPr="007768B1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5</w:t>
      </w:r>
      <w:r w:rsidRPr="007768B1">
        <w:rPr>
          <w:rFonts w:cs="Times New Roman"/>
          <w:sz w:val="28"/>
          <w:szCs w:val="28"/>
        </w:rPr>
        <w:t>. Выполнять только те работы, которые ему поручены;</w:t>
      </w:r>
    </w:p>
    <w:p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4.</w:t>
      </w:r>
      <w:r w:rsidR="007A10CB" w:rsidRPr="007768B1">
        <w:rPr>
          <w:rFonts w:cs="Times New Roman"/>
          <w:sz w:val="28"/>
          <w:szCs w:val="28"/>
        </w:rPr>
        <w:t>6</w:t>
      </w:r>
      <w:r w:rsidRPr="007768B1">
        <w:rPr>
          <w:rFonts w:cs="Times New Roman"/>
          <w:sz w:val="28"/>
          <w:szCs w:val="28"/>
        </w:rPr>
        <w:t xml:space="preserve">. Использовать оборудование, приборы и расходные материалы только по прямому назначению; </w:t>
      </w:r>
    </w:p>
    <w:p w:rsidR="00623118" w:rsidRPr="007768B1" w:rsidRDefault="00623118" w:rsidP="007934C7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7768B1">
        <w:rPr>
          <w:rFonts w:cs="Times New Roman"/>
          <w:sz w:val="28"/>
          <w:szCs w:val="28"/>
        </w:rPr>
        <w:t>4</w:t>
      </w:r>
      <w:r w:rsidR="007A10CB" w:rsidRPr="007768B1">
        <w:rPr>
          <w:rFonts w:cs="Times New Roman"/>
          <w:sz w:val="28"/>
          <w:szCs w:val="28"/>
        </w:rPr>
        <w:t>.7</w:t>
      </w:r>
      <w:r w:rsidRPr="007768B1">
        <w:rPr>
          <w:rFonts w:cs="Times New Roman"/>
          <w:sz w:val="28"/>
          <w:szCs w:val="28"/>
        </w:rPr>
        <w:t>. Содержать свое рабочее место в чистоте и порядке.</w:t>
      </w:r>
    </w:p>
    <w:p w:rsidR="00623118" w:rsidRPr="007934C7" w:rsidRDefault="00623118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7934C7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heading=h.3dy6vkm"/>
      <w:bookmarkEnd w:id="9"/>
      <w:r w:rsidRPr="007934C7">
        <w:rPr>
          <w:rFonts w:eastAsia="Times New Roman" w:cs="Times New Roman"/>
          <w:b/>
          <w:color w:val="000000"/>
          <w:sz w:val="28"/>
          <w:szCs w:val="28"/>
        </w:rPr>
        <w:lastRenderedPageBreak/>
        <w:t>5. Требования охраны труда во время работы</w:t>
      </w:r>
    </w:p>
    <w:p w:rsidR="001A206B" w:rsidRPr="007934C7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934C7">
        <w:rPr>
          <w:rFonts w:eastAsia="Times New Roman" w:cs="Times New Roman"/>
          <w:color w:val="000000"/>
          <w:sz w:val="28"/>
          <w:szCs w:val="28"/>
        </w:rPr>
        <w:t>5.1</w:t>
      </w:r>
      <w:r w:rsidR="007934C7" w:rsidRPr="007934C7">
        <w:rPr>
          <w:rFonts w:eastAsia="Times New Roman" w:cs="Times New Roman"/>
          <w:color w:val="000000"/>
          <w:sz w:val="28"/>
          <w:szCs w:val="28"/>
        </w:rPr>
        <w:t>.</w:t>
      </w:r>
      <w:r w:rsidRPr="007934C7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1B08B7" w:rsidRPr="007934C7" w:rsidRDefault="001B08B7" w:rsidP="007934C7">
      <w:pPr>
        <w:spacing w:line="360" w:lineRule="auto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6"/>
        <w:gridCol w:w="7222"/>
      </w:tblGrid>
      <w:tr w:rsidR="001B08B7" w:rsidRPr="007934C7" w:rsidTr="007934C7">
        <w:trPr>
          <w:tblHeader/>
          <w:jc w:val="center"/>
        </w:trPr>
        <w:tc>
          <w:tcPr>
            <w:tcW w:w="2066" w:type="dxa"/>
            <w:vAlign w:val="center"/>
          </w:tcPr>
          <w:p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Наименование инструмента/ оборудования</w:t>
            </w:r>
          </w:p>
        </w:tc>
        <w:tc>
          <w:tcPr>
            <w:tcW w:w="7222" w:type="dxa"/>
            <w:vAlign w:val="center"/>
          </w:tcPr>
          <w:p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b/>
                <w:position w:val="0"/>
              </w:rPr>
            </w:pPr>
            <w:r w:rsidRPr="007934C7">
              <w:rPr>
                <w:rFonts w:cs="Times New Roman"/>
                <w:b/>
                <w:position w:val="0"/>
              </w:rPr>
              <w:t>Требования безопасности</w:t>
            </w:r>
          </w:p>
        </w:tc>
      </w:tr>
      <w:tr w:rsidR="001B08B7" w:rsidRPr="007934C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:rsidR="001B08B7" w:rsidRPr="007934C7" w:rsidRDefault="001B08B7" w:rsidP="00031603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Химическая посуда мерная, общего и специального назначения.</w:t>
            </w:r>
          </w:p>
        </w:tc>
        <w:tc>
          <w:tcPr>
            <w:tcW w:w="7222" w:type="dxa"/>
            <w:vAlign w:val="center"/>
          </w:tcPr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Проверка на целостность.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106" w:firstLine="142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Для нагревания использовать термостойкую посуду.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Исключить примене</w:t>
            </w:r>
            <w:r w:rsidRPr="007934C7">
              <w:rPr>
                <w:rFonts w:cs="Times New Roman"/>
                <w:position w:val="0"/>
              </w:rPr>
              <w:softHyphen/>
              <w:t>ние физической силы при работе со стеклянными деталями.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 нагревать жидкость в закрытых колбах или приборах, не имеющих сообщения с атмосферой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Работы, при проведении которых возможно бурное течение процесса, перегрев стеклянного прибора или его поломка с разбрызгиванием горячих или едких продуктов, должны вы</w:t>
            </w:r>
            <w:r w:rsidRPr="007934C7">
              <w:rPr>
                <w:rFonts w:cs="Times New Roman"/>
                <w:position w:val="0"/>
              </w:rPr>
              <w:softHyphen/>
              <w:t>полняться в вытяжных шкафах.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переносе сосудов с горячей жидкостью следует пользо</w:t>
            </w:r>
            <w:r w:rsidRPr="007934C7">
              <w:rPr>
                <w:rFonts w:cs="Times New Roman"/>
                <w:position w:val="0"/>
              </w:rPr>
              <w:softHyphen/>
              <w:t>ваться полотенцем или другими материалами.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tabs>
                <w:tab w:val="left" w:pos="390"/>
              </w:tabs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мытье посуды щетками (ершами) следует направлять дно сосуда только от себя или вниз.</w:t>
            </w:r>
          </w:p>
          <w:p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При мытье посуды надо </w:t>
            </w:r>
            <w:r w:rsidR="007934C7" w:rsidRPr="007934C7">
              <w:rPr>
                <w:rFonts w:cs="Times New Roman"/>
                <w:position w:val="0"/>
              </w:rPr>
              <w:t>использовать для нагревания нельзя;</w:t>
            </w:r>
          </w:p>
          <w:p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Во избежание порезов рук, концы стеклянных трубок и палочек должны быть оплавлены;</w:t>
            </w:r>
          </w:p>
          <w:p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сборке стеклянных приборов с помощью резиновых трубок необходимо защищать руки полотенцем;</w:t>
            </w:r>
          </w:p>
          <w:p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смешении или разбавлении веществ, сопровождающемся выделением тепла, следует пользоваться фарфоровой или термостойкой тонкостенной химической посудой;</w:t>
            </w:r>
          </w:p>
          <w:p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Не нагревать толстостенную посуду;</w:t>
            </w:r>
          </w:p>
          <w:p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Вставляя стеклянную трубку, холодильник, воронку в пробку, нужно держать ее рукой как можно ближе к вставленному концу и не вдавливать их в пробку, а слегка ввинчивать;</w:t>
            </w:r>
          </w:p>
          <w:p w:rsidR="007934C7" w:rsidRPr="007934C7" w:rsidRDefault="007934C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В случае применения резиновых пробок следует немного их смазать глицерином, а затем глицерин стереть;</w:t>
            </w:r>
          </w:p>
          <w:p w:rsidR="001B08B7" w:rsidRPr="007934C7" w:rsidRDefault="007934C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 подключении холодильника, проверить шланги на отсутствие препятствий. Обязательно</w:t>
            </w:r>
            <w:r w:rsidR="001B08B7" w:rsidRPr="007934C7">
              <w:rPr>
                <w:rFonts w:cs="Times New Roman"/>
                <w:position w:val="0"/>
              </w:rPr>
              <w:t xml:space="preserve"> надевать резиновые пер</w:t>
            </w:r>
            <w:r w:rsidR="001B08B7" w:rsidRPr="007934C7">
              <w:rPr>
                <w:rFonts w:cs="Times New Roman"/>
                <w:position w:val="0"/>
              </w:rPr>
              <w:softHyphen/>
              <w:t>чатки и очки.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3"/>
              </w:numPr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Осколки разбитой посуды убирают только с помощью щетки и совка, ни в коем случае не руками.</w:t>
            </w:r>
          </w:p>
          <w:p w:rsidR="007934C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Стеклянные изделия (посуду), имеющие хотя бы небольшие царапины, трещины, сколы и инородные включения (пузыри, пену), </w:t>
            </w:r>
          </w:p>
          <w:p w:rsidR="001B08B7" w:rsidRPr="007934C7" w:rsidRDefault="001B08B7" w:rsidP="007934C7">
            <w:pPr>
              <w:numPr>
                <w:ilvl w:val="0"/>
                <w:numId w:val="23"/>
              </w:numPr>
              <w:tabs>
                <w:tab w:val="left" w:pos="390"/>
              </w:tabs>
              <w:autoSpaceDE w:val="0"/>
              <w:autoSpaceDN w:val="0"/>
              <w:adjustRightInd w:val="0"/>
              <w:spacing w:line="276" w:lineRule="auto"/>
              <w:ind w:left="-136" w:firstLine="284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</w:p>
        </w:tc>
      </w:tr>
      <w:tr w:rsidR="001B08B7" w:rsidRPr="007934C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Весы аналитические, технические</w:t>
            </w:r>
          </w:p>
        </w:tc>
        <w:tc>
          <w:tcPr>
            <w:tcW w:w="7222" w:type="dxa"/>
            <w:vAlign w:val="center"/>
          </w:tcPr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Запрещается включать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в сеть при отсутствии заземления.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нагружайте весы сверх </w:t>
            </w:r>
            <w:proofErr w:type="gramStart"/>
            <w:r w:rsidRPr="007934C7">
              <w:rPr>
                <w:rFonts w:eastAsia="Times New Roman" w:cs="Times New Roman"/>
                <w:color w:val="000000"/>
                <w:position w:val="0"/>
              </w:rPr>
              <w:t>допустимого</w:t>
            </w:r>
            <w:proofErr w:type="gramEnd"/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, не допускайте резких ударов по платформе; не подвергайте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сильной вибрации.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пользуйтесь для протирки индикатора растворителями и другими летучими веществами, протирайте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весы 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сухой мягкой тканью.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Не работайте в запыленных местах, избегайте прямого попадания воды на 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>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>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Избегайте резких перепадов температуры и воздушных потоков от вентиляторов.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Не работайте вблизи от высоковольтных кабелей, двигателей, радиопередатчиков и других источников электромагнитных помех.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не нажимайте сильно на клавиши.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При работе платформа и взвешиваемый груз не должны касаться сетевого шнура или других посторонних предметов.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color w:val="000000"/>
                <w:position w:val="0"/>
              </w:rPr>
              <w:t>После перевозки или хранения при низких отрицательных температурах</w:t>
            </w:r>
            <w:r w:rsidRPr="007934C7">
              <w:rPr>
                <w:rFonts w:eastAsia="Times New Roman" w:cs="Times New Roman"/>
                <w:b/>
                <w:bCs/>
                <w:color w:val="000000"/>
                <w:position w:val="0"/>
              </w:rPr>
              <w:t xml:space="preserve"> весы</w:t>
            </w:r>
            <w:r w:rsidRPr="007934C7">
              <w:rPr>
                <w:rFonts w:eastAsia="Times New Roman" w:cs="Times New Roman"/>
                <w:color w:val="000000"/>
                <w:position w:val="0"/>
              </w:rPr>
              <w:t xml:space="preserve"> можно включать не раньше, чем через 2 часов пребывания в рабочих условиях.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устанавливать весы так, чтобы открывание кожуха было наименьшим.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Содержать весы в чистоте.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Избегать ударов и ограничить перемещение весов.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точность каждый раз перед взвешиванием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превышать предельно установленные нормы взвешивания.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отключать весы от электропитания, а использовать режим ожидания, если необходимо производить взвешивание часто.</w:t>
            </w:r>
          </w:p>
        </w:tc>
      </w:tr>
      <w:tr w:rsidR="001B08B7" w:rsidRPr="007934C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Электрические нагревательные приборы</w:t>
            </w:r>
          </w:p>
        </w:tc>
        <w:tc>
          <w:tcPr>
            <w:tcW w:w="7222" w:type="dxa"/>
            <w:vAlign w:val="center"/>
          </w:tcPr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При включении электронагревательного прибора в сеть необходимо пользоваться </w:t>
            </w:r>
            <w:proofErr w:type="spellStart"/>
            <w:r w:rsidRPr="007934C7">
              <w:rPr>
                <w:rFonts w:cs="Times New Roman"/>
                <w:position w:val="0"/>
              </w:rPr>
              <w:t>электровилкой</w:t>
            </w:r>
            <w:proofErr w:type="spellEnd"/>
            <w:r w:rsidRPr="007934C7">
              <w:rPr>
                <w:rFonts w:cs="Times New Roman"/>
                <w:position w:val="0"/>
              </w:rPr>
              <w:t>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При выключении прибора необходимо браться за </w:t>
            </w:r>
            <w:proofErr w:type="spellStart"/>
            <w:r w:rsidRPr="007934C7">
              <w:rPr>
                <w:rFonts w:cs="Times New Roman"/>
                <w:position w:val="0"/>
              </w:rPr>
              <w:t>электровилку</w:t>
            </w:r>
            <w:proofErr w:type="spellEnd"/>
            <w:r w:rsidRPr="007934C7">
              <w:rPr>
                <w:rFonts w:cs="Times New Roman"/>
                <w:position w:val="0"/>
              </w:rPr>
              <w:t xml:space="preserve">, при этом придерживая крышку </w:t>
            </w:r>
            <w:proofErr w:type="spellStart"/>
            <w:r w:rsidRPr="007934C7">
              <w:rPr>
                <w:rFonts w:cs="Times New Roman"/>
                <w:position w:val="0"/>
              </w:rPr>
              <w:t>электророзетки</w:t>
            </w:r>
            <w:proofErr w:type="spellEnd"/>
            <w:r w:rsidRPr="007934C7">
              <w:rPr>
                <w:rFonts w:cs="Times New Roman"/>
                <w:position w:val="0"/>
              </w:rPr>
              <w:t>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При обнаружении искрения, горелого запаха, дыма, а также перегрева прибора, электрошнура и </w:t>
            </w:r>
            <w:proofErr w:type="spellStart"/>
            <w:r w:rsidRPr="007934C7">
              <w:rPr>
                <w:rFonts w:cs="Times New Roman"/>
                <w:position w:val="0"/>
              </w:rPr>
              <w:t>электровилки</w:t>
            </w:r>
            <w:proofErr w:type="spellEnd"/>
            <w:r w:rsidRPr="007934C7">
              <w:rPr>
                <w:rFonts w:cs="Times New Roman"/>
                <w:position w:val="0"/>
              </w:rPr>
              <w:t>, необходимо немедленно выключить прибор.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630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Запрещается: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Оставлять без </w:t>
            </w:r>
            <w:proofErr w:type="gramStart"/>
            <w:r w:rsidRPr="007934C7">
              <w:rPr>
                <w:rFonts w:cs="Times New Roman"/>
                <w:position w:val="0"/>
              </w:rPr>
              <w:t>наблюдения</w:t>
            </w:r>
            <w:proofErr w:type="gramEnd"/>
            <w:r w:rsidRPr="007934C7">
              <w:rPr>
                <w:rFonts w:cs="Times New Roman"/>
                <w:position w:val="0"/>
              </w:rPr>
              <w:t xml:space="preserve"> включенные </w:t>
            </w:r>
            <w:r w:rsidRPr="007934C7">
              <w:rPr>
                <w:rFonts w:cs="Times New Roman"/>
                <w:position w:val="0"/>
              </w:rPr>
              <w:lastRenderedPageBreak/>
              <w:t>электронагревательные приборы.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 xml:space="preserve">Пользоваться поврежденными </w:t>
            </w:r>
            <w:proofErr w:type="spellStart"/>
            <w:r w:rsidRPr="007934C7">
              <w:rPr>
                <w:rFonts w:cs="Times New Roman"/>
                <w:position w:val="0"/>
              </w:rPr>
              <w:t>электророзетками</w:t>
            </w:r>
            <w:proofErr w:type="spellEnd"/>
            <w:r w:rsidRPr="007934C7">
              <w:rPr>
                <w:rFonts w:cs="Times New Roman"/>
                <w:position w:val="0"/>
              </w:rPr>
              <w:t>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Применять нестандартные (самодельные) электронагревательные приборы.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Оставлять включенными электронагревательные приборы при отключении электроэнергии и при уходе из помещения.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Ремонт, проверку сопротивления изоляции электронагревательных приборов имеет право проводить специально назначенные работники из числа электротехнического персонала.</w:t>
            </w:r>
          </w:p>
        </w:tc>
      </w:tr>
      <w:tr w:rsidR="001B08B7" w:rsidRPr="007934C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Спектрофотометр</w:t>
            </w:r>
          </w:p>
        </w:tc>
        <w:tc>
          <w:tcPr>
            <w:tcW w:w="7222" w:type="dxa"/>
            <w:vAlign w:val="center"/>
          </w:tcPr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t>Кондуктометр</w:t>
            </w:r>
          </w:p>
        </w:tc>
        <w:tc>
          <w:tcPr>
            <w:tcW w:w="7222" w:type="dxa"/>
            <w:vAlign w:val="center"/>
          </w:tcPr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Включать и выключать электроприбор из розетки только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сухими руками.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допускается эксплуатация неисправного 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  <w:tr w:rsidR="001B08B7" w:rsidRPr="007934C7" w:rsidTr="007934C7">
        <w:trPr>
          <w:trHeight w:val="1375"/>
          <w:jc w:val="center"/>
        </w:trPr>
        <w:tc>
          <w:tcPr>
            <w:tcW w:w="2066" w:type="dxa"/>
            <w:vAlign w:val="center"/>
          </w:tcPr>
          <w:p w:rsidR="001B08B7" w:rsidRPr="007934C7" w:rsidRDefault="001B08B7" w:rsidP="007934C7">
            <w:pPr>
              <w:spacing w:line="276" w:lineRule="auto"/>
              <w:contextualSpacing/>
              <w:jc w:val="center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cs="Times New Roman"/>
                <w:position w:val="0"/>
              </w:rPr>
              <w:lastRenderedPageBreak/>
              <w:t>Потенциометр</w:t>
            </w:r>
          </w:p>
        </w:tc>
        <w:tc>
          <w:tcPr>
            <w:tcW w:w="7222" w:type="dxa"/>
            <w:vAlign w:val="center"/>
          </w:tcPr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Включить электроприбор и убедиться в его работоспособности.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Строго выполнять инструкцию по эксплуатации электроприбора.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Включать и выключать электроприбор из розетки только сухими руками.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ЗАПРЕЩАЕТСЯ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Пользоваться неисправными электроприборами;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Мыть электроприборы или протирать их влажными тряпками, не отключая электроприборы от электросети;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Производить самостоятельно какой-либо ремонт;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Вытаскивать вилку из розетки за шланг электропитания;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Проверять нагрев конфорок электроплиты прикосновением руки;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Оставлять включенный электроприбор без присмотра.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перерыве в работе или переносе электроприборов с одного рабочего места на другое их необходимо отключить от сети.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При отключении приборов от сети необходимо держаться за штепсельную вилку, придерживая корпус розетки.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 xml:space="preserve">Не допускается эксплуатация неисправного </w:t>
            </w:r>
            <w:r w:rsidRPr="007934C7">
              <w:rPr>
                <w:rFonts w:eastAsia="Times New Roman" w:cs="Times New Roman"/>
                <w:position w:val="0"/>
              </w:rPr>
              <w:lastRenderedPageBreak/>
              <w:t>электрооборудования, а также электрооборудования с неисправными или отключенными устройствами аварийного отключения, блокировок защит и сигнализации.</w:t>
            </w:r>
          </w:p>
          <w:p w:rsidR="001B08B7" w:rsidRPr="007934C7" w:rsidRDefault="001B08B7" w:rsidP="007934C7">
            <w:pPr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eastAsia="Times New Roman"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Не оставлять без присмотра включенные в сеть электрические приборы.</w:t>
            </w:r>
          </w:p>
          <w:p w:rsidR="001B08B7" w:rsidRPr="007934C7" w:rsidRDefault="001B08B7" w:rsidP="007934C7">
            <w:pPr>
              <w:pStyle w:val="af6"/>
              <w:numPr>
                <w:ilvl w:val="0"/>
                <w:numId w:val="24"/>
              </w:numPr>
              <w:tabs>
                <w:tab w:val="left" w:pos="532"/>
              </w:tabs>
              <w:spacing w:line="276" w:lineRule="auto"/>
              <w:ind w:left="6" w:firstLine="283"/>
              <w:contextualSpacing/>
              <w:jc w:val="both"/>
              <w:outlineLvl w:val="9"/>
              <w:rPr>
                <w:rFonts w:cs="Times New Roman"/>
                <w:position w:val="0"/>
              </w:rPr>
            </w:pPr>
            <w:r w:rsidRPr="007934C7">
              <w:rPr>
                <w:rFonts w:eastAsia="Times New Roman" w:cs="Times New Roman"/>
                <w:position w:val="0"/>
              </w:rPr>
              <w:t>Каждый конкурсант должен немедленно сообщить техническому эксперту обо всех замеченных им нарушениях.</w:t>
            </w:r>
          </w:p>
        </w:tc>
      </w:tr>
    </w:tbl>
    <w:p w:rsidR="001B08B7" w:rsidRPr="007768B1" w:rsidRDefault="00A8114D" w:rsidP="007934C7">
      <w:pPr>
        <w:spacing w:line="360" w:lineRule="auto"/>
        <w:ind w:firstLine="709"/>
        <w:contextualSpacing/>
        <w:jc w:val="both"/>
        <w:rPr>
          <w:rFonts w:cs="Times New Roman"/>
          <w:position w:val="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5.3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B08B7" w:rsidRPr="007768B1">
        <w:rPr>
          <w:rFonts w:cs="Times New Roman"/>
          <w:position w:val="0"/>
          <w:sz w:val="28"/>
          <w:szCs w:val="28"/>
        </w:rPr>
        <w:t>При выполнении конкурсных заданий и уборке рабочих мест: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соблюдать настоящую инструкцию;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поддерживать порядок и чистоту на рабочем месте;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выполнять конкурсные задания только исправным инструментом;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работать с вредными, агрессивными и токсичными веществами только в вытяжном шкафу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слив отработанных реактивов производить  в строго  отведённое место.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Хранить жидкости разрешается только в исправной таре;</w:t>
      </w:r>
    </w:p>
    <w:p w:rsidR="001B08B7" w:rsidRPr="007768B1" w:rsidRDefault="001B08B7" w:rsidP="007934C7">
      <w:pPr>
        <w:pStyle w:val="af6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Пролитая жидкость должна быть немедленно убрана;</w:t>
      </w:r>
    </w:p>
    <w:p w:rsidR="001B08B7" w:rsidRPr="007768B1" w:rsidRDefault="001B08B7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5.4. При неисправности инструмента и оборудования – прекратить выполнение конкурсного задания и сообщить об этом Эксперту.</w:t>
      </w: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</w:rPr>
      </w:pPr>
      <w:bookmarkStart w:id="10" w:name="_heading=h.1t3h5sf"/>
      <w:bookmarkEnd w:id="10"/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6.1.1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загораний необходимо:</w:t>
      </w:r>
    </w:p>
    <w:p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536712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A206B" w:rsidRPr="007768B1" w:rsidRDefault="00536712" w:rsidP="007934C7">
      <w:pPr>
        <w:pStyle w:val="af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6.3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6.5.1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Финала</w:t>
      </w:r>
      <w:r w:rsidRPr="007768B1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6.5.2</w:t>
      </w:r>
      <w:r w:rsidR="007934C7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 w:rsidRPr="007768B1">
        <w:rPr>
          <w:rFonts w:eastAsia="Times New Roman" w:cs="Times New Roman"/>
          <w:color w:val="000000"/>
          <w:sz w:val="28"/>
          <w:szCs w:val="28"/>
        </w:rPr>
        <w:t>.</w:t>
      </w:r>
      <w:r w:rsidRPr="007768B1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6B389A" w:rsidRPr="007768B1" w:rsidRDefault="006B389A" w:rsidP="007934C7">
      <w:pPr>
        <w:spacing w:line="360" w:lineRule="auto"/>
        <w:ind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A206B" w:rsidRPr="007768B1" w:rsidRDefault="001A206B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" w:name="_heading=h.4d34og8"/>
      <w:bookmarkEnd w:id="11"/>
    </w:p>
    <w:p w:rsidR="001A206B" w:rsidRPr="007768B1" w:rsidRDefault="00A8114D" w:rsidP="007934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768B1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Pr="007768B1" w:rsidRDefault="00A8114D" w:rsidP="007934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7768B1">
        <w:rPr>
          <w:rFonts w:eastAsia="Times New Roman" w:cs="Times New Roman"/>
          <w:color w:val="000000"/>
          <w:sz w:val="28"/>
          <w:szCs w:val="28"/>
        </w:rPr>
        <w:t>7.1</w:t>
      </w:r>
      <w:proofErr w:type="gramStart"/>
      <w:r w:rsidRPr="007768B1">
        <w:rPr>
          <w:rFonts w:eastAsia="Times New Roman" w:cs="Times New Roman"/>
          <w:color w:val="000000"/>
          <w:sz w:val="28"/>
          <w:szCs w:val="28"/>
        </w:rPr>
        <w:t xml:space="preserve"> П</w:t>
      </w:r>
      <w:proofErr w:type="gramEnd"/>
      <w:r w:rsidRPr="007768B1">
        <w:rPr>
          <w:rFonts w:eastAsia="Times New Roman" w:cs="Times New Roman"/>
          <w:color w:val="000000"/>
          <w:sz w:val="28"/>
          <w:szCs w:val="28"/>
        </w:rPr>
        <w:t>осле окончания работ каждый конкурсант обязан:</w:t>
      </w:r>
    </w:p>
    <w:p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Привести в порядок рабочее место. </w:t>
      </w:r>
    </w:p>
    <w:p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средства индивидуальной защиты в отведенное для хранений место.</w:t>
      </w:r>
    </w:p>
    <w:p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Убрать инструмент и отключить оборудование от сети.</w:t>
      </w:r>
    </w:p>
    <w:p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 xml:space="preserve"> Инструмент убрать в специально предназначенное для хранений место.</w:t>
      </w:r>
    </w:p>
    <w:p w:rsidR="001B08B7" w:rsidRPr="007768B1" w:rsidRDefault="001B08B7" w:rsidP="007934C7">
      <w:pPr>
        <w:pStyle w:val="af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position w:val="0"/>
          <w:sz w:val="28"/>
          <w:szCs w:val="28"/>
        </w:rPr>
      </w:pPr>
      <w:r w:rsidRPr="007768B1">
        <w:rPr>
          <w:rFonts w:cs="Times New Roman"/>
          <w:position w:val="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A206B" w:rsidRPr="007768B1" w:rsidRDefault="001A206B" w:rsidP="007934C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7768B1" w:rsidSect="00601BC6"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91" w:rsidRDefault="00694B91">
      <w:pPr>
        <w:spacing w:line="240" w:lineRule="auto"/>
      </w:pPr>
      <w:r>
        <w:separator/>
      </w:r>
    </w:p>
  </w:endnote>
  <w:endnote w:type="continuationSeparator" w:id="0">
    <w:p w:rsidR="00694B91" w:rsidRDefault="00694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Pr="007934C7" w:rsidRDefault="008C6AA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7934C7">
      <w:rPr>
        <w:rFonts w:cs="Times New Roman"/>
        <w:color w:val="000000"/>
      </w:rPr>
      <w:fldChar w:fldCharType="begin"/>
    </w:r>
    <w:r w:rsidR="00A8114D" w:rsidRPr="007934C7">
      <w:rPr>
        <w:rFonts w:cs="Times New Roman"/>
        <w:color w:val="000000"/>
      </w:rPr>
      <w:instrText>PAGE</w:instrText>
    </w:r>
    <w:r w:rsidRPr="007934C7">
      <w:rPr>
        <w:rFonts w:cs="Times New Roman"/>
        <w:color w:val="000000"/>
      </w:rPr>
      <w:fldChar w:fldCharType="separate"/>
    </w:r>
    <w:r w:rsidR="002734E5">
      <w:rPr>
        <w:rFonts w:cs="Times New Roman"/>
        <w:noProof/>
        <w:color w:val="000000"/>
      </w:rPr>
      <w:t>14</w:t>
    </w:r>
    <w:r w:rsidRPr="007934C7">
      <w:rPr>
        <w:rFonts w:cs="Times New Roman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91" w:rsidRDefault="00694B91">
      <w:pPr>
        <w:spacing w:line="240" w:lineRule="auto"/>
      </w:pPr>
      <w:r>
        <w:separator/>
      </w:r>
    </w:p>
  </w:footnote>
  <w:footnote w:type="continuationSeparator" w:id="0">
    <w:p w:rsidR="00694B91" w:rsidRDefault="00694B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287B47"/>
    <w:multiLevelType w:val="hybridMultilevel"/>
    <w:tmpl w:val="74AC52A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1C5B"/>
    <w:multiLevelType w:val="multilevel"/>
    <w:tmpl w:val="B9604A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BB426EE"/>
    <w:multiLevelType w:val="hybridMultilevel"/>
    <w:tmpl w:val="830E4078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0ED12AE"/>
    <w:multiLevelType w:val="hybridMultilevel"/>
    <w:tmpl w:val="872C2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65347"/>
    <w:multiLevelType w:val="hybridMultilevel"/>
    <w:tmpl w:val="316EC28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36540"/>
    <w:multiLevelType w:val="hybridMultilevel"/>
    <w:tmpl w:val="231E7BA8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55906"/>
    <w:multiLevelType w:val="hybridMultilevel"/>
    <w:tmpl w:val="1F34531C"/>
    <w:lvl w:ilvl="0" w:tplc="4B0EE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2137BD"/>
    <w:multiLevelType w:val="hybridMultilevel"/>
    <w:tmpl w:val="3852F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5F28F9"/>
    <w:multiLevelType w:val="hybridMultilevel"/>
    <w:tmpl w:val="1534E63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B5046"/>
    <w:multiLevelType w:val="hybridMultilevel"/>
    <w:tmpl w:val="A5C63326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C6A53"/>
    <w:multiLevelType w:val="hybridMultilevel"/>
    <w:tmpl w:val="8BE0B272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489B38AE"/>
    <w:multiLevelType w:val="hybridMultilevel"/>
    <w:tmpl w:val="66A8A0B8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452463"/>
    <w:multiLevelType w:val="hybridMultilevel"/>
    <w:tmpl w:val="247AE4EE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926BC9"/>
    <w:multiLevelType w:val="hybridMultilevel"/>
    <w:tmpl w:val="9A4CEBF2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A76F0"/>
    <w:multiLevelType w:val="hybridMultilevel"/>
    <w:tmpl w:val="10C81D8C"/>
    <w:lvl w:ilvl="0" w:tplc="FB9AD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B50E8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637D7886"/>
    <w:multiLevelType w:val="hybridMultilevel"/>
    <w:tmpl w:val="F564AC0E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4416E"/>
    <w:multiLevelType w:val="hybridMultilevel"/>
    <w:tmpl w:val="BA8C1452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D67313"/>
    <w:multiLevelType w:val="hybridMultilevel"/>
    <w:tmpl w:val="F3E65F24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8362A"/>
    <w:multiLevelType w:val="hybridMultilevel"/>
    <w:tmpl w:val="609E19E6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01352"/>
    <w:multiLevelType w:val="hybridMultilevel"/>
    <w:tmpl w:val="E5D828F6"/>
    <w:lvl w:ilvl="0" w:tplc="4B0EE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77210116"/>
    <w:multiLevelType w:val="hybridMultilevel"/>
    <w:tmpl w:val="99F0FDCE"/>
    <w:lvl w:ilvl="0" w:tplc="FB9ADF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21"/>
  </w:num>
  <w:num w:numId="5">
    <w:abstractNumId w:val="22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20"/>
  </w:num>
  <w:num w:numId="15">
    <w:abstractNumId w:val="1"/>
  </w:num>
  <w:num w:numId="16">
    <w:abstractNumId w:val="29"/>
  </w:num>
  <w:num w:numId="17">
    <w:abstractNumId w:val="19"/>
  </w:num>
  <w:num w:numId="18">
    <w:abstractNumId w:val="5"/>
  </w:num>
  <w:num w:numId="19">
    <w:abstractNumId w:val="8"/>
  </w:num>
  <w:num w:numId="20">
    <w:abstractNumId w:val="23"/>
  </w:num>
  <w:num w:numId="21">
    <w:abstractNumId w:val="18"/>
  </w:num>
  <w:num w:numId="22">
    <w:abstractNumId w:val="24"/>
  </w:num>
  <w:num w:numId="23">
    <w:abstractNumId w:val="14"/>
  </w:num>
  <w:num w:numId="24">
    <w:abstractNumId w:val="26"/>
  </w:num>
  <w:num w:numId="25">
    <w:abstractNumId w:val="12"/>
  </w:num>
  <w:num w:numId="26">
    <w:abstractNumId w:val="7"/>
  </w:num>
  <w:num w:numId="27">
    <w:abstractNumId w:val="25"/>
  </w:num>
  <w:num w:numId="28">
    <w:abstractNumId w:val="17"/>
  </w:num>
  <w:num w:numId="29">
    <w:abstractNumId w:val="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06B"/>
    <w:rsid w:val="0000032D"/>
    <w:rsid w:val="00031603"/>
    <w:rsid w:val="000360E3"/>
    <w:rsid w:val="00054EFF"/>
    <w:rsid w:val="000F4013"/>
    <w:rsid w:val="001A206B"/>
    <w:rsid w:val="001B08B7"/>
    <w:rsid w:val="001C737F"/>
    <w:rsid w:val="001D7212"/>
    <w:rsid w:val="001E2985"/>
    <w:rsid w:val="002734E5"/>
    <w:rsid w:val="002E2CB4"/>
    <w:rsid w:val="00536712"/>
    <w:rsid w:val="00584FB3"/>
    <w:rsid w:val="005D1246"/>
    <w:rsid w:val="00601BC6"/>
    <w:rsid w:val="00623118"/>
    <w:rsid w:val="006474AA"/>
    <w:rsid w:val="00694B91"/>
    <w:rsid w:val="006B389A"/>
    <w:rsid w:val="007768B1"/>
    <w:rsid w:val="007934C7"/>
    <w:rsid w:val="007A10CB"/>
    <w:rsid w:val="007A30CF"/>
    <w:rsid w:val="00874851"/>
    <w:rsid w:val="008C6AA8"/>
    <w:rsid w:val="009E6F07"/>
    <w:rsid w:val="00A8114D"/>
    <w:rsid w:val="00B66D90"/>
    <w:rsid w:val="00B863EA"/>
    <w:rsid w:val="00C53FA7"/>
    <w:rsid w:val="00C55997"/>
    <w:rsid w:val="00DB7805"/>
    <w:rsid w:val="00E301E7"/>
    <w:rsid w:val="00F15D7A"/>
    <w:rsid w:val="00F836F2"/>
    <w:rsid w:val="00FC211F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601BC6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601BC6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601B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601B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01B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01B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01BC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01B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01B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01B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01B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01BC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01BC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01BC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01BC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01BC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01B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01BC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01BC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01BC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01BC6"/>
    <w:rPr>
      <w:sz w:val="24"/>
      <w:szCs w:val="24"/>
    </w:rPr>
  </w:style>
  <w:style w:type="character" w:customStyle="1" w:styleId="QuoteChar">
    <w:name w:val="Quote Char"/>
    <w:uiPriority w:val="29"/>
    <w:rsid w:val="00601BC6"/>
    <w:rPr>
      <w:i/>
    </w:rPr>
  </w:style>
  <w:style w:type="character" w:customStyle="1" w:styleId="IntenseQuoteChar">
    <w:name w:val="Intense Quote Char"/>
    <w:uiPriority w:val="30"/>
    <w:rsid w:val="00601BC6"/>
    <w:rPr>
      <w:i/>
    </w:rPr>
  </w:style>
  <w:style w:type="character" w:customStyle="1" w:styleId="HeaderChar">
    <w:name w:val="Header Char"/>
    <w:basedOn w:val="a0"/>
    <w:uiPriority w:val="99"/>
    <w:rsid w:val="00601BC6"/>
  </w:style>
  <w:style w:type="character" w:customStyle="1" w:styleId="CaptionChar">
    <w:name w:val="Caption Char"/>
    <w:uiPriority w:val="99"/>
    <w:rsid w:val="00601BC6"/>
  </w:style>
  <w:style w:type="character" w:customStyle="1" w:styleId="FootnoteTextChar">
    <w:name w:val="Footnote Text Char"/>
    <w:uiPriority w:val="99"/>
    <w:rsid w:val="00601BC6"/>
    <w:rPr>
      <w:sz w:val="18"/>
    </w:rPr>
  </w:style>
  <w:style w:type="character" w:customStyle="1" w:styleId="EndnoteTextChar">
    <w:name w:val="Endnote Text Char"/>
    <w:uiPriority w:val="99"/>
    <w:rsid w:val="00601BC6"/>
    <w:rPr>
      <w:sz w:val="20"/>
    </w:rPr>
  </w:style>
  <w:style w:type="character" w:customStyle="1" w:styleId="11">
    <w:name w:val="Заголовок 1 Знак1"/>
    <w:link w:val="1"/>
    <w:uiPriority w:val="9"/>
    <w:rsid w:val="00601BC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601BC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01BC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01BC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01BC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01BC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01B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01BC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01BC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601BC6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601BC6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601BC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01BC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01B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01B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01BC6"/>
    <w:rPr>
      <w:i/>
    </w:rPr>
  </w:style>
  <w:style w:type="paragraph" w:styleId="aa">
    <w:name w:val="header"/>
    <w:basedOn w:val="a"/>
    <w:link w:val="10"/>
    <w:hidden/>
    <w:qFormat/>
    <w:rsid w:val="00601B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601BC6"/>
  </w:style>
  <w:style w:type="paragraph" w:styleId="ab">
    <w:name w:val="footer"/>
    <w:basedOn w:val="a"/>
    <w:link w:val="12"/>
    <w:hidden/>
    <w:qFormat/>
    <w:rsid w:val="00601B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601BC6"/>
  </w:style>
  <w:style w:type="paragraph" w:styleId="ac">
    <w:name w:val="caption"/>
    <w:basedOn w:val="a"/>
    <w:next w:val="a"/>
    <w:uiPriority w:val="35"/>
    <w:semiHidden/>
    <w:unhideWhenUsed/>
    <w:qFormat/>
    <w:rsid w:val="00601B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601BC6"/>
  </w:style>
  <w:style w:type="table" w:styleId="ad">
    <w:name w:val="Table Grid"/>
    <w:basedOn w:val="a1"/>
    <w:hidden/>
    <w:qFormat/>
    <w:rsid w:val="00601BC6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1B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601B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01BC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01B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1B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1B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1B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1B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1B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1B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1BC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1BC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01BC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1BC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1BC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1BC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1BC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1BC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1BC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1BC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1B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601BC6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601BC6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601BC6"/>
    <w:rPr>
      <w:sz w:val="18"/>
    </w:rPr>
  </w:style>
  <w:style w:type="character" w:styleId="af0">
    <w:name w:val="footnote reference"/>
    <w:hidden/>
    <w:qFormat/>
    <w:rsid w:val="00601BC6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01BC6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01BC6"/>
    <w:rPr>
      <w:sz w:val="20"/>
    </w:rPr>
  </w:style>
  <w:style w:type="character" w:styleId="af3">
    <w:name w:val="endnote reference"/>
    <w:uiPriority w:val="99"/>
    <w:semiHidden/>
    <w:unhideWhenUsed/>
    <w:rsid w:val="00601BC6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601BC6"/>
  </w:style>
  <w:style w:type="paragraph" w:styleId="23">
    <w:name w:val="toc 2"/>
    <w:basedOn w:val="a"/>
    <w:next w:val="a"/>
    <w:hidden/>
    <w:uiPriority w:val="39"/>
    <w:qFormat/>
    <w:rsid w:val="00601BC6"/>
    <w:pPr>
      <w:ind w:left="240"/>
    </w:pPr>
  </w:style>
  <w:style w:type="paragraph" w:styleId="32">
    <w:name w:val="toc 3"/>
    <w:basedOn w:val="a"/>
    <w:next w:val="a"/>
    <w:uiPriority w:val="39"/>
    <w:unhideWhenUsed/>
    <w:rsid w:val="00601BC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01BC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01BC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1BC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01BC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01BC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01BC6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601BC6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601BC6"/>
  </w:style>
  <w:style w:type="table" w:customStyle="1" w:styleId="TableNormal">
    <w:name w:val="Table Normal"/>
    <w:rsid w:val="00601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601BC6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rsid w:val="00601BC6"/>
    <w:pPr>
      <w:ind w:left="720"/>
    </w:pPr>
  </w:style>
  <w:style w:type="paragraph" w:styleId="af7">
    <w:name w:val="Balloon Text"/>
    <w:basedOn w:val="a"/>
    <w:hidden/>
    <w:qFormat/>
    <w:rsid w:val="00601BC6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601BC6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601BC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601BC6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601BC6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601BC6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601BC6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601BC6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rsid w:val="00601BC6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601BC6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601BC6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601B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601BC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DB7805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9&amp;documentId=644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9&amp;documentId=59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9&amp;documentId=671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9&amp;documentId=5986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ormativ.kontur.ru/document?moduleId=9&amp;documentId=64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ПГТА</Company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denisovm</cp:lastModifiedBy>
  <cp:revision>5</cp:revision>
  <dcterms:created xsi:type="dcterms:W3CDTF">2025-01-21T07:11:00Z</dcterms:created>
  <dcterms:modified xsi:type="dcterms:W3CDTF">2025-01-29T12:05:00Z</dcterms:modified>
</cp:coreProperties>
</file>