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906" w:rsidRDefault="00773E63">
      <w:pPr>
        <w:spacing w:line="276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  <w:r>
        <w:rPr>
          <w:noProof/>
        </w:rPr>
        <w:drawing>
          <wp:inline distT="0" distB="0" distL="0" distR="0">
            <wp:extent cx="3556635" cy="1371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906" w:rsidRDefault="00130906">
      <w:pPr>
        <w:spacing w:line="276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:rsidR="00130906" w:rsidRDefault="00130906">
      <w:pPr>
        <w:spacing w:line="276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:rsidR="00130906" w:rsidRDefault="00130906">
      <w:pPr>
        <w:spacing w:line="276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:rsidR="00130906" w:rsidRDefault="00130906">
      <w:pPr>
        <w:spacing w:line="276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:rsidR="00130906" w:rsidRDefault="00773E63">
      <w:pP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:rsidR="00130906" w:rsidRDefault="00130906">
      <w:pP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30906" w:rsidRDefault="00773E63">
      <w:pP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 xml:space="preserve">компетенции «Технологии информационного моделирования </w:t>
      </w:r>
      <w:r>
        <w:rPr>
          <w:rFonts w:eastAsia="Times New Roman" w:cs="Times New Roman"/>
          <w:color w:val="000000"/>
          <w:sz w:val="40"/>
          <w:szCs w:val="40"/>
          <w:lang w:val="en-US"/>
        </w:rPr>
        <w:t>BIM</w:t>
      </w:r>
      <w:r>
        <w:rPr>
          <w:rFonts w:eastAsia="Times New Roman" w:cs="Times New Roman"/>
          <w:color w:val="000000"/>
          <w:sz w:val="40"/>
          <w:szCs w:val="40"/>
        </w:rPr>
        <w:t>»</w:t>
      </w:r>
    </w:p>
    <w:p w:rsidR="00130906" w:rsidRDefault="00773E63">
      <w:pP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color w:val="000000"/>
          <w:sz w:val="36"/>
          <w:szCs w:val="36"/>
        </w:rPr>
        <w:t xml:space="preserve">Регионального </w:t>
      </w:r>
      <w:r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:rsidR="00130906" w:rsidRDefault="00773E63">
      <w:pP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 xml:space="preserve">Пензенская область </w:t>
      </w:r>
    </w:p>
    <w:p w:rsidR="00130906" w:rsidRDefault="00773E63">
      <w:pP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2"/>
          <w:szCs w:val="22"/>
        </w:rPr>
        <w:t>Субъект РФ</w:t>
      </w:r>
    </w:p>
    <w:p w:rsidR="00130906" w:rsidRDefault="00130906">
      <w:pPr>
        <w:spacing w:line="240" w:lineRule="auto"/>
        <w:rPr>
          <w:rFonts w:eastAsia="Times New Roman" w:cs="Times New Roman"/>
          <w:color w:val="000000"/>
        </w:rPr>
      </w:pPr>
    </w:p>
    <w:p w:rsidR="00130906" w:rsidRDefault="00130906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130906" w:rsidRDefault="00130906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773E63" w:rsidRDefault="00773E63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773E63" w:rsidRDefault="00773E63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773E63" w:rsidRDefault="00773E63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773E63" w:rsidRDefault="00773E63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773E63" w:rsidRDefault="00773E63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773E63" w:rsidRDefault="00773E63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773E63" w:rsidRDefault="00773E63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773E63" w:rsidRDefault="00773E63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773E63" w:rsidRDefault="00773E63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130906" w:rsidRDefault="00130906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130906" w:rsidRDefault="00130906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130906" w:rsidRDefault="00130906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130906" w:rsidRDefault="00130906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130906" w:rsidRDefault="00130906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130906" w:rsidRDefault="00130906">
      <w:pPr>
        <w:spacing w:line="276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130906" w:rsidRDefault="00773E63">
      <w:pPr>
        <w:spacing w:line="276" w:lineRule="auto"/>
        <w:contextualSpacing/>
        <w:jc w:val="center"/>
        <w:rPr>
          <w:rFonts w:eastAsia="Times New Roman" w:cs="Times New Roman"/>
          <w:color w:val="000000"/>
          <w:sz w:val="28"/>
          <w:szCs w:val="28"/>
        </w:rPr>
        <w:sectPr w:rsidR="00130906">
          <w:footerReference w:type="default" r:id="rId10"/>
          <w:pgSz w:w="11906" w:h="16838"/>
          <w:pgMar w:top="1134" w:right="851" w:bottom="1134" w:left="1701" w:header="0" w:footer="709" w:gutter="0"/>
          <w:pgNumType w:start="1"/>
          <w:cols w:space="720"/>
          <w:formProt w:val="0"/>
          <w:docGrid w:linePitch="360"/>
        </w:sectPr>
      </w:pPr>
      <w:r>
        <w:rPr>
          <w:rFonts w:eastAsia="Times New Roman" w:cs="Times New Roman"/>
          <w:color w:val="000000"/>
          <w:sz w:val="28"/>
          <w:szCs w:val="28"/>
        </w:rPr>
        <w:t>2025 г.</w:t>
      </w:r>
    </w:p>
    <w:p w:rsidR="00130906" w:rsidRDefault="00773E63">
      <w:pPr>
        <w:keepNext/>
        <w:keepLines/>
        <w:spacing w:line="360" w:lineRule="auto"/>
        <w:contextualSpacing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="Calibri" w:hAnsi="Times New Roman" w:cs="Calibri"/>
          <w:b w:val="0"/>
          <w:bCs w:val="0"/>
          <w:color w:val="auto"/>
          <w:sz w:val="24"/>
          <w:szCs w:val="24"/>
        </w:rPr>
        <w:id w:val="874252743"/>
        <w:docPartObj>
          <w:docPartGallery w:val="Table of Contents"/>
          <w:docPartUnique/>
        </w:docPartObj>
      </w:sdtPr>
      <w:sdtContent>
        <w:p w:rsidR="00130906" w:rsidRDefault="00130906">
          <w:pPr>
            <w:pStyle w:val="afe"/>
            <w:spacing w:line="360" w:lineRule="auto"/>
            <w:jc w:val="both"/>
            <w:rPr>
              <w:rFonts w:ascii="Times New Roman" w:hAnsi="Times New Roman"/>
              <w:color w:val="auto"/>
            </w:rPr>
          </w:pPr>
        </w:p>
        <w:p w:rsidR="00130906" w:rsidRDefault="00130906">
          <w:pPr>
            <w:tabs>
              <w:tab w:val="right" w:leader="dot" w:pos="9344"/>
            </w:tabs>
            <w:spacing w:line="360" w:lineRule="auto"/>
            <w:jc w:val="both"/>
            <w:rPr>
              <w:rFonts w:eastAsiaTheme="minorEastAsia" w:cs="Times New Roman"/>
              <w:sz w:val="28"/>
              <w:szCs w:val="28"/>
            </w:rPr>
          </w:pPr>
          <w:r w:rsidRPr="00130906">
            <w:fldChar w:fldCharType="begin"/>
          </w:r>
          <w:r w:rsidR="00773E63">
            <w:rPr>
              <w:rStyle w:val="af6"/>
              <w:rFonts w:cs="Times New Roman"/>
              <w:webHidden/>
              <w:sz w:val="28"/>
              <w:szCs w:val="28"/>
            </w:rPr>
            <w:instrText xml:space="preserve"> TOC \z \h</w:instrText>
          </w:r>
          <w:r>
            <w:rPr>
              <w:rStyle w:val="af6"/>
              <w:rFonts w:cs="Times New Roman"/>
              <w:sz w:val="28"/>
              <w:szCs w:val="28"/>
            </w:rPr>
            <w:fldChar w:fldCharType="separate"/>
          </w:r>
          <w:hyperlink w:anchor="_Toc169596420">
            <w:r w:rsidR="00773E63">
              <w:rPr>
                <w:rStyle w:val="af6"/>
                <w:rFonts w:cs="Times New Roman"/>
                <w:webHidden/>
                <w:sz w:val="28"/>
                <w:szCs w:val="28"/>
              </w:rPr>
              <w:t>1. Область применения</w:t>
            </w:r>
            <w:r>
              <w:rPr>
                <w:webHidden/>
              </w:rPr>
              <w:fldChar w:fldCharType="begin"/>
            </w:r>
            <w:r w:rsidR="00773E63">
              <w:rPr>
                <w:webHidden/>
              </w:rPr>
              <w:instrText>PAGEREF _Toc169596420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73E63">
              <w:rPr>
                <w:rStyle w:val="af6"/>
                <w:rFonts w:cs="Times New Roman"/>
                <w:sz w:val="28"/>
                <w:szCs w:val="28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 w:rsidR="00130906" w:rsidRDefault="00130906">
          <w:pPr>
            <w:tabs>
              <w:tab w:val="right" w:leader="dot" w:pos="9344"/>
            </w:tabs>
            <w:spacing w:line="360" w:lineRule="auto"/>
            <w:jc w:val="both"/>
            <w:rPr>
              <w:rFonts w:eastAsiaTheme="minorEastAsia" w:cs="Times New Roman"/>
              <w:sz w:val="28"/>
              <w:szCs w:val="28"/>
            </w:rPr>
          </w:pPr>
          <w:hyperlink w:anchor="_Toc169596421">
            <w:r w:rsidR="00773E63">
              <w:rPr>
                <w:rStyle w:val="af6"/>
                <w:rFonts w:cs="Times New Roman"/>
                <w:webHidden/>
                <w:sz w:val="28"/>
                <w:szCs w:val="28"/>
              </w:rPr>
              <w:t>2. Нормативные ссылки</w:t>
            </w:r>
            <w:r>
              <w:rPr>
                <w:webHidden/>
              </w:rPr>
              <w:fldChar w:fldCharType="begin"/>
            </w:r>
            <w:r w:rsidR="00773E63">
              <w:rPr>
                <w:webHidden/>
              </w:rPr>
              <w:instrText>PAGEREF _Toc169596421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73E63">
              <w:rPr>
                <w:rStyle w:val="af6"/>
                <w:rFonts w:cs="Times New Roman"/>
                <w:sz w:val="28"/>
                <w:szCs w:val="28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 w:rsidR="00130906" w:rsidRDefault="00130906">
          <w:pPr>
            <w:tabs>
              <w:tab w:val="right" w:leader="dot" w:pos="9344"/>
            </w:tabs>
            <w:spacing w:line="360" w:lineRule="auto"/>
            <w:jc w:val="both"/>
            <w:rPr>
              <w:rFonts w:eastAsiaTheme="minorEastAsia" w:cs="Times New Roman"/>
              <w:sz w:val="28"/>
              <w:szCs w:val="28"/>
            </w:rPr>
          </w:pPr>
          <w:hyperlink w:anchor="_Toc169596422">
            <w:r w:rsidR="00773E63">
              <w:rPr>
                <w:rStyle w:val="af6"/>
                <w:rFonts w:cs="Times New Roman"/>
                <w:webHidden/>
                <w:sz w:val="28"/>
                <w:szCs w:val="28"/>
              </w:rPr>
              <w:t>3. Общие требования охраны труда</w:t>
            </w:r>
            <w:r>
              <w:rPr>
                <w:webHidden/>
              </w:rPr>
              <w:fldChar w:fldCharType="begin"/>
            </w:r>
            <w:r w:rsidR="00773E63">
              <w:rPr>
                <w:webHidden/>
              </w:rPr>
              <w:instrText>PAGEREF _Toc169596422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73E63">
              <w:rPr>
                <w:rStyle w:val="af6"/>
                <w:rFonts w:cs="Times New Roman"/>
                <w:sz w:val="28"/>
                <w:szCs w:val="28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 w:rsidR="00130906" w:rsidRDefault="00130906">
          <w:pPr>
            <w:tabs>
              <w:tab w:val="right" w:leader="dot" w:pos="9344"/>
            </w:tabs>
            <w:spacing w:line="360" w:lineRule="auto"/>
            <w:jc w:val="both"/>
            <w:rPr>
              <w:rFonts w:eastAsiaTheme="minorEastAsia" w:cs="Times New Roman"/>
              <w:sz w:val="28"/>
              <w:szCs w:val="28"/>
            </w:rPr>
          </w:pPr>
          <w:hyperlink w:anchor="_Toc169596423">
            <w:r w:rsidR="00773E63">
              <w:rPr>
                <w:rStyle w:val="af6"/>
                <w:rFonts w:cs="Times New Roman"/>
                <w:webHidden/>
                <w:sz w:val="28"/>
                <w:szCs w:val="28"/>
              </w:rPr>
              <w:t>4. Требования охраны труда перед началом работы</w:t>
            </w:r>
            <w:r>
              <w:rPr>
                <w:webHidden/>
              </w:rPr>
              <w:fldChar w:fldCharType="begin"/>
            </w:r>
            <w:r w:rsidR="00773E63">
              <w:rPr>
                <w:webHidden/>
              </w:rPr>
              <w:instrText>PAGEREF _Toc169596423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73E63">
              <w:rPr>
                <w:rStyle w:val="af6"/>
                <w:rFonts w:cs="Times New Roman"/>
                <w:sz w:val="28"/>
                <w:szCs w:val="28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130906" w:rsidRDefault="00130906">
          <w:pPr>
            <w:tabs>
              <w:tab w:val="right" w:leader="dot" w:pos="9344"/>
            </w:tabs>
            <w:spacing w:line="360" w:lineRule="auto"/>
            <w:jc w:val="both"/>
            <w:rPr>
              <w:rFonts w:eastAsiaTheme="minorEastAsia" w:cs="Times New Roman"/>
              <w:sz w:val="28"/>
              <w:szCs w:val="28"/>
            </w:rPr>
          </w:pPr>
          <w:hyperlink w:anchor="_Toc169596424">
            <w:r w:rsidR="00773E63">
              <w:rPr>
                <w:rStyle w:val="af6"/>
                <w:rFonts w:cs="Times New Roman"/>
                <w:webHidden/>
                <w:sz w:val="28"/>
                <w:szCs w:val="28"/>
              </w:rPr>
              <w:t>5. Требования охраны труда во время выполнения работ</w:t>
            </w:r>
            <w:r>
              <w:rPr>
                <w:webHidden/>
              </w:rPr>
              <w:fldChar w:fldCharType="begin"/>
            </w:r>
            <w:r w:rsidR="00773E63">
              <w:rPr>
                <w:webHidden/>
              </w:rPr>
              <w:instrText>PAGEREF _Toc169596424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73E63">
              <w:rPr>
                <w:rStyle w:val="af6"/>
                <w:rFonts w:cs="Times New Roman"/>
                <w:sz w:val="28"/>
                <w:szCs w:val="28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130906" w:rsidRDefault="00130906">
          <w:pPr>
            <w:tabs>
              <w:tab w:val="right" w:leader="dot" w:pos="9344"/>
            </w:tabs>
            <w:spacing w:line="360" w:lineRule="auto"/>
            <w:jc w:val="both"/>
            <w:rPr>
              <w:rFonts w:eastAsiaTheme="minorEastAsia" w:cs="Times New Roman"/>
              <w:sz w:val="28"/>
              <w:szCs w:val="28"/>
            </w:rPr>
          </w:pPr>
          <w:hyperlink w:anchor="_Toc169596425">
            <w:r w:rsidR="00773E63">
              <w:rPr>
                <w:rStyle w:val="af6"/>
                <w:rFonts w:cs="Times New Roman"/>
                <w:webHidden/>
                <w:sz w:val="28"/>
                <w:szCs w:val="28"/>
              </w:rPr>
              <w:t>6. Требования охраны труда в аварийных ситуациях</w:t>
            </w:r>
            <w:r>
              <w:rPr>
                <w:webHidden/>
              </w:rPr>
              <w:fldChar w:fldCharType="begin"/>
            </w:r>
            <w:r w:rsidR="00773E63">
              <w:rPr>
                <w:webHidden/>
              </w:rPr>
              <w:instrText>PAGEREF _Toc169596425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73E63">
              <w:rPr>
                <w:rStyle w:val="af6"/>
                <w:rFonts w:cs="Times New Roman"/>
                <w:sz w:val="28"/>
                <w:szCs w:val="28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:rsidR="00130906" w:rsidRDefault="00130906">
          <w:pPr>
            <w:tabs>
              <w:tab w:val="right" w:leader="dot" w:pos="9344"/>
            </w:tabs>
            <w:spacing w:line="360" w:lineRule="auto"/>
            <w:jc w:val="both"/>
            <w:rPr>
              <w:rFonts w:eastAsiaTheme="minorEastAsia" w:cs="Times New Roman"/>
              <w:sz w:val="28"/>
              <w:szCs w:val="28"/>
            </w:rPr>
          </w:pPr>
          <w:hyperlink w:anchor="_Toc169596426">
            <w:r w:rsidR="00773E63">
              <w:rPr>
                <w:rStyle w:val="af6"/>
                <w:rFonts w:cs="Times New Roman"/>
                <w:webHidden/>
                <w:sz w:val="28"/>
                <w:szCs w:val="28"/>
              </w:rPr>
              <w:t>7. Требования охраны труда по окончании работы</w:t>
            </w:r>
            <w:r>
              <w:rPr>
                <w:webHidden/>
              </w:rPr>
              <w:fldChar w:fldCharType="begin"/>
            </w:r>
            <w:r w:rsidR="00773E63">
              <w:rPr>
                <w:webHidden/>
              </w:rPr>
              <w:instrText>PAGEREF _To</w:instrText>
            </w:r>
            <w:r w:rsidR="00773E63">
              <w:rPr>
                <w:webHidden/>
              </w:rPr>
              <w:instrText>c169596426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73E63">
              <w:rPr>
                <w:rStyle w:val="af6"/>
                <w:rFonts w:cs="Times New Roman"/>
                <w:sz w:val="28"/>
                <w:szCs w:val="28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6"/>
              <w:rFonts w:cs="Times New Roman"/>
              <w:sz w:val="28"/>
              <w:szCs w:val="28"/>
            </w:rPr>
            <w:fldChar w:fldCharType="end"/>
          </w:r>
        </w:p>
      </w:sdtContent>
    </w:sdt>
    <w:p w:rsidR="00130906" w:rsidRDefault="00130906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130906" w:rsidRDefault="00130906">
      <w:pPr>
        <w:spacing w:line="360" w:lineRule="auto"/>
        <w:contextualSpacing/>
        <w:jc w:val="both"/>
        <w:rPr>
          <w:rFonts w:eastAsia="Times New Roman" w:cs="Times New Roman"/>
          <w:sz w:val="28"/>
          <w:szCs w:val="28"/>
        </w:rPr>
      </w:pPr>
    </w:p>
    <w:p w:rsidR="00130906" w:rsidRDefault="00130906">
      <w:pPr>
        <w:spacing w:line="360" w:lineRule="auto"/>
        <w:contextualSpacing/>
        <w:jc w:val="both"/>
        <w:rPr>
          <w:rFonts w:eastAsia="Times New Roman" w:cs="Times New Roman"/>
          <w:sz w:val="28"/>
          <w:szCs w:val="28"/>
        </w:rPr>
      </w:pPr>
    </w:p>
    <w:p w:rsidR="00130906" w:rsidRDefault="00130906">
      <w:pPr>
        <w:spacing w:line="360" w:lineRule="auto"/>
        <w:contextualSpacing/>
        <w:jc w:val="both"/>
        <w:rPr>
          <w:rFonts w:eastAsia="Times New Roman" w:cs="Times New Roman"/>
          <w:sz w:val="28"/>
          <w:szCs w:val="28"/>
        </w:rPr>
      </w:pPr>
    </w:p>
    <w:p w:rsidR="00130906" w:rsidRDefault="00773E63">
      <w:pPr>
        <w:keepNext/>
        <w:keepLines/>
        <w:spacing w:line="360" w:lineRule="auto"/>
        <w:contextualSpacing/>
        <w:jc w:val="both"/>
        <w:rPr>
          <w:rFonts w:eastAsia="Times New Roman" w:cs="Times New Roman"/>
          <w:b/>
          <w:sz w:val="28"/>
          <w:szCs w:val="28"/>
        </w:rPr>
      </w:pPr>
      <w:bookmarkStart w:id="0" w:name="_heading=h.gjdgxs"/>
      <w:bookmarkEnd w:id="0"/>
      <w:r>
        <w:br w:type="page"/>
      </w:r>
    </w:p>
    <w:p w:rsidR="00130906" w:rsidRDefault="00773E63">
      <w:pPr>
        <w:pStyle w:val="Heading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1" w:name="_heading=h.30j0zll"/>
      <w:bookmarkStart w:id="2" w:name="_Toc169596420"/>
      <w:bookmarkEnd w:id="1"/>
      <w:r>
        <w:rPr>
          <w:rFonts w:ascii="Times New Roman" w:hAnsi="Times New Roman" w:cs="Times New Roman"/>
          <w:color w:val="auto"/>
        </w:rPr>
        <w:lastRenderedPageBreak/>
        <w:t>1. Область применения</w:t>
      </w:r>
      <w:bookmarkEnd w:id="2"/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1.1. Настоящие правила разработаны на основе типовой инструкции по охране труда с учетом требований законодательных и иных нормативных </w:t>
      </w:r>
      <w:r>
        <w:rPr>
          <w:rFonts w:eastAsia="Times New Roman" w:cs="Times New Roman"/>
          <w:color w:val="000000"/>
          <w:sz w:val="28"/>
          <w:szCs w:val="28"/>
        </w:rPr>
        <w:t xml:space="preserve">правовых актов, содержащих государственные требования охраны труда, правил по охране труда и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предназначена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для участников Финала Чемпионата по профессиональному мастерству «Профессионалы» в 2025 г. (далее Чемпионата).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1.2 Выполнение требований настоящих пр</w:t>
      </w:r>
      <w:r>
        <w:rPr>
          <w:rFonts w:eastAsia="Times New Roman" w:cs="Times New Roman"/>
          <w:color w:val="000000"/>
          <w:sz w:val="28"/>
          <w:szCs w:val="28"/>
        </w:rPr>
        <w:t xml:space="preserve">авил обязательны для всех участников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ФиналаЧемпионата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по профессиональному мастерству «Профессионалы» в 2025г. компетенции «Технологии информационного моделирования BIM».</w:t>
      </w:r>
    </w:p>
    <w:p w:rsidR="00130906" w:rsidRDefault="00130906">
      <w:pP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3" w:name="_heading=h.1fob9te"/>
      <w:bookmarkEnd w:id="3"/>
    </w:p>
    <w:p w:rsidR="00130906" w:rsidRDefault="00773E63">
      <w:pPr>
        <w:pStyle w:val="Heading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4" w:name="_Toc169596421"/>
      <w:r>
        <w:rPr>
          <w:rFonts w:ascii="Times New Roman" w:hAnsi="Times New Roman" w:cs="Times New Roman"/>
          <w:color w:val="auto"/>
        </w:rPr>
        <w:t>2. Нормативные ссылки</w:t>
      </w:r>
      <w:bookmarkEnd w:id="4"/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</w:t>
      </w:r>
      <w:r>
        <w:rPr>
          <w:rFonts w:eastAsia="Times New Roman" w:cs="Times New Roman"/>
          <w:color w:val="000000"/>
          <w:sz w:val="28"/>
          <w:szCs w:val="28"/>
        </w:rPr>
        <w:t>точников: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2.1.2Федеральный закон "О техническом регулировании" от 27 декабря 2002 года № 184-ФЗ.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2.1.3 Федеральный закон "О труде" от 30 декабря 2001 года № 197-ФЗ.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2.1.4 Санитарные правила</w:t>
      </w:r>
      <w:r>
        <w:rPr>
          <w:rFonts w:eastAsia="Times New Roman" w:cs="Times New Roman"/>
          <w:color w:val="000000"/>
          <w:sz w:val="28"/>
          <w:szCs w:val="28"/>
        </w:rPr>
        <w:t xml:space="preserve"> и нормы "Гигиенические требования к работе с ПЭВМ и организации рабочего места" (СП 2.2.2.542-96).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2.1.5 Правила безопасности при эксплуатации вычислительной техники (ПБ 03-440-02).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2.1.6 Правила охраны труда при работе на персональном компьютере (ПОТ РК </w:t>
      </w:r>
      <w:r>
        <w:rPr>
          <w:rFonts w:eastAsia="Times New Roman" w:cs="Times New Roman"/>
          <w:color w:val="000000"/>
          <w:sz w:val="28"/>
          <w:szCs w:val="28"/>
        </w:rPr>
        <w:t>4.01-01-2002).</w:t>
      </w:r>
    </w:p>
    <w:p w:rsidR="00130906" w:rsidRDefault="00130906">
      <w:pPr>
        <w:spacing w:line="36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130906" w:rsidRDefault="00773E63">
      <w:pPr>
        <w:pStyle w:val="Heading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5" w:name="_heading=h.2et92p0"/>
      <w:bookmarkStart w:id="6" w:name="_Toc169596422"/>
      <w:bookmarkEnd w:id="5"/>
      <w:r>
        <w:rPr>
          <w:rFonts w:ascii="Times New Roman" w:hAnsi="Times New Roman" w:cs="Times New Roman"/>
          <w:color w:val="auto"/>
        </w:rPr>
        <w:t>3. Общие требования охраны труда</w:t>
      </w:r>
      <w:bookmarkEnd w:id="6"/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3.1.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 xml:space="preserve">К выполнению конкурсного задания по компетенции «Технологии информационного моделирования BIM» допускаются участники Чемпионата, прошедшие вводный инструктаж по охране труда, инструктаж на рабочем </w:t>
      </w:r>
      <w:r>
        <w:rPr>
          <w:rFonts w:eastAsia="Times New Roman" w:cs="Times New Roman"/>
          <w:color w:val="000000"/>
          <w:sz w:val="28"/>
          <w:szCs w:val="28"/>
        </w:rPr>
        <w:t>месте, обучение и проверку знаний требований охраны труда, ознакомленные с инструкцией по охране труда, не имеющие противопоказаний к выполнению заданий по состоянию здоровья и имеющие необходимые навыки по эксплуатации инструмента, приспособлений и оборуд</w:t>
      </w:r>
      <w:r>
        <w:rPr>
          <w:rFonts w:eastAsia="Times New Roman" w:cs="Times New Roman"/>
          <w:color w:val="000000"/>
          <w:sz w:val="28"/>
          <w:szCs w:val="28"/>
        </w:rPr>
        <w:t>ования.</w:t>
      </w:r>
      <w:proofErr w:type="gramEnd"/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 Участник Чемпионата обязан: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3.2.1. Выполнять только ту работу, которая определена его ролью на Чемпионате.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3.2.2. Правильно применять средства индивидуальной и коллективной защиты.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3.3.3. Соблюдать требования охраны труда.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3.3.4. Немедленно из</w:t>
      </w:r>
      <w:r>
        <w:rPr>
          <w:rFonts w:eastAsia="Times New Roman" w:cs="Times New Roman"/>
          <w:color w:val="000000"/>
          <w:sz w:val="28"/>
          <w:szCs w:val="28"/>
        </w:rPr>
        <w:t>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</w:t>
      </w:r>
      <w:r>
        <w:rPr>
          <w:rFonts w:eastAsia="Times New Roman" w:cs="Times New Roman"/>
          <w:color w:val="000000"/>
          <w:sz w:val="28"/>
          <w:szCs w:val="28"/>
        </w:rPr>
        <w:t>я (отравления).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3.3.5. Применять безопасные методы и приёмы выполнения работ и оказания первой помощи, инструктаж по охране труда.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 При выполнении работ на участника Чемпионата возможны воздействия следующих опасных и вредных производственных факторов: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</w:t>
      </w:r>
      <w:r>
        <w:rPr>
          <w:rFonts w:eastAsia="Times New Roman" w:cs="Times New Roman"/>
          <w:color w:val="000000"/>
          <w:sz w:val="28"/>
          <w:szCs w:val="28"/>
        </w:rPr>
        <w:t xml:space="preserve"> наружной поверхности оборудования и внутренней поверхности замкнутых пространств, расплавленный металл;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повышенные уровни шума и вибрации на </w:t>
      </w:r>
      <w:r>
        <w:rPr>
          <w:rFonts w:eastAsia="Times New Roman" w:cs="Times New Roman"/>
          <w:color w:val="000000"/>
          <w:sz w:val="28"/>
          <w:szCs w:val="28"/>
        </w:rPr>
        <w:t>рабочих местах;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3.4. Все участники Чемпионата (эксперты и конкурсанты) должны находиться на площадке в спецодежде,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спецобуви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и применять средства индиви</w:t>
      </w:r>
      <w:r>
        <w:rPr>
          <w:rFonts w:eastAsia="Times New Roman" w:cs="Times New Roman"/>
          <w:color w:val="000000"/>
          <w:sz w:val="28"/>
          <w:szCs w:val="28"/>
        </w:rPr>
        <w:t>дуальной защиты: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3.5.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3.6. Конкурсные работы должны проводиться в соответствии с технической документацией задания Чемпионата.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3.7.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3.8.</w:t>
      </w:r>
      <w:r>
        <w:rPr>
          <w:rFonts w:eastAsia="Times New Roman" w:cs="Times New Roman"/>
          <w:color w:val="000000"/>
          <w:sz w:val="28"/>
          <w:szCs w:val="28"/>
        </w:rPr>
        <w:t xml:space="preserve"> В случаях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травмирования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или недомогания, необходимо прекратить работу, известить об этом экспертов и обратиться в медицинское учреждение.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3.9. Лица, не соблюдающие настоящие Правила, привлекаются к ответственности согласно действующему законодательству.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</w:t>
      </w:r>
      <w:r>
        <w:rPr>
          <w:rFonts w:eastAsia="Times New Roman" w:cs="Times New Roman"/>
          <w:color w:val="000000"/>
          <w:sz w:val="28"/>
          <w:szCs w:val="28"/>
        </w:rPr>
        <w:t>.10. 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:rsidR="00130906" w:rsidRDefault="00130906">
      <w:pP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7" w:name="_heading=h.tyjcwt"/>
      <w:bookmarkEnd w:id="7"/>
    </w:p>
    <w:p w:rsidR="00130906" w:rsidRDefault="00773E63">
      <w:pPr>
        <w:pStyle w:val="Heading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8" w:name="_Toc169596423"/>
      <w:r>
        <w:rPr>
          <w:rFonts w:ascii="Times New Roman" w:hAnsi="Times New Roman" w:cs="Times New Roman"/>
          <w:color w:val="auto"/>
        </w:rPr>
        <w:t>4. Требования охраны труда перед началом работы</w:t>
      </w:r>
      <w:bookmarkEnd w:id="8"/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4.1. Перед </w:t>
      </w:r>
      <w:r>
        <w:rPr>
          <w:rFonts w:eastAsia="Times New Roman" w:cs="Times New Roman"/>
          <w:color w:val="000000"/>
          <w:sz w:val="28"/>
          <w:szCs w:val="28"/>
        </w:rPr>
        <w:t>началом выполнения работ конкурсант обязан:</w:t>
      </w:r>
    </w:p>
    <w:p w:rsidR="00130906" w:rsidRDefault="00773E63">
      <w:pPr>
        <w:pStyle w:val="aff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Перед началом соревнований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</w:t>
      </w:r>
      <w:r>
        <w:rPr>
          <w:rFonts w:eastAsia="Times New Roman" w:cs="Times New Roman"/>
          <w:color w:val="000000"/>
          <w:sz w:val="28"/>
          <w:szCs w:val="28"/>
        </w:rPr>
        <w:t xml:space="preserve">инетами, питьевой воды, подготовить рабочее место в соответствии с Техническим описанием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компетенции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.П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>роверить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специальную одежду, обувь и др. средства индивидуальной защиты. Одеть необходимые средства защиты для выполнения подготовки рабочих мест, инструм</w:t>
      </w:r>
      <w:r>
        <w:rPr>
          <w:rFonts w:eastAsia="Times New Roman" w:cs="Times New Roman"/>
          <w:color w:val="000000"/>
          <w:sz w:val="28"/>
          <w:szCs w:val="28"/>
        </w:rPr>
        <w:t xml:space="preserve">ента и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оборудования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.П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</w:t>
      </w:r>
    </w:p>
    <w:p w:rsidR="00130906" w:rsidRDefault="00773E63">
      <w:pPr>
        <w:pStyle w:val="aff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Подготовить рабочее место: удалить</w:t>
      </w:r>
      <w:r>
        <w:rPr>
          <w:rFonts w:eastAsia="Times New Roman" w:cs="Times New Roman"/>
          <w:color w:val="000000"/>
          <w:sz w:val="28"/>
          <w:szCs w:val="28"/>
        </w:rPr>
        <w:t xml:space="preserve"> с рабочих столов посторонние предметы, в том числе, записи, сделанные за время проверки рабочих мест.</w:t>
      </w:r>
    </w:p>
    <w:p w:rsidR="00130906" w:rsidRDefault="00773E63">
      <w:pPr>
        <w:pStyle w:val="aff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Подготовить инструмент и оборудование, разрешенное к самостоятельной работе:</w:t>
      </w:r>
    </w:p>
    <w:tbl>
      <w:tblPr>
        <w:tblW w:w="5000" w:type="pct"/>
        <w:tblInd w:w="93" w:type="dxa"/>
        <w:tblLayout w:type="fixed"/>
        <w:tblLook w:val="0000"/>
      </w:tblPr>
      <w:tblGrid>
        <w:gridCol w:w="3300"/>
        <w:gridCol w:w="6270"/>
      </w:tblGrid>
      <w:tr w:rsidR="00130906">
        <w:trPr>
          <w:trHeight w:val="630"/>
          <w:tblHeader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0906" w:rsidRDefault="00773E63">
            <w:pPr>
              <w:widowControl w:val="0"/>
              <w:spacing w:line="276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</w:rPr>
              <w:t>Наименование инструмента или оборудования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906" w:rsidRDefault="00773E63">
            <w:pPr>
              <w:widowControl w:val="0"/>
              <w:spacing w:line="276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</w:rPr>
              <w:t>Правила подготовки к выполнению ко</w:t>
            </w:r>
            <w:r>
              <w:rPr>
                <w:rFonts w:eastAsia="Times New Roman" w:cs="Times New Roman"/>
                <w:b/>
              </w:rPr>
              <w:t>нкурсного задания</w:t>
            </w:r>
          </w:p>
        </w:tc>
      </w:tr>
      <w:tr w:rsidR="00130906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0906" w:rsidRDefault="00773E63">
            <w:pPr>
              <w:widowControl w:val="0"/>
              <w:snapToGrid w:val="0"/>
              <w:spacing w:line="276" w:lineRule="auto"/>
              <w:contextualSpacing/>
              <w:jc w:val="both"/>
              <w:textAlignment w:val="top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Персональный компьютер (мониторы, системный блок, клавиатура, мышь)</w:t>
            </w:r>
          </w:p>
          <w:p w:rsidR="00130906" w:rsidRDefault="00130906">
            <w:pPr>
              <w:widowControl w:val="0"/>
              <w:spacing w:line="276" w:lineRule="auto"/>
              <w:contextualSpacing/>
              <w:jc w:val="both"/>
              <w:textAlignment w:val="top"/>
              <w:rPr>
                <w:rFonts w:cs="Times New Roman"/>
              </w:rPr>
            </w:pPr>
          </w:p>
          <w:p w:rsidR="00130906" w:rsidRDefault="00773E63">
            <w:pPr>
              <w:widowControl w:val="0"/>
              <w:snapToGrid w:val="0"/>
              <w:spacing w:line="276" w:lineRule="auto"/>
              <w:contextualSpacing/>
              <w:jc w:val="both"/>
              <w:textAlignment w:val="top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Монитор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906" w:rsidRDefault="00773E63">
            <w:pPr>
              <w:widowControl w:val="0"/>
              <w:snapToGrid w:val="0"/>
              <w:spacing w:line="276" w:lineRule="auto"/>
              <w:contextualSpacing/>
              <w:jc w:val="both"/>
              <w:textAlignment w:val="top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Проверить правильность подключения оборудования к электросети (кабели электропитания, удлинители, сетевые фильтры должны находиться с тыльной стороны рабочего </w:t>
            </w:r>
            <w:r>
              <w:rPr>
                <w:rFonts w:eastAsia="Times New Roman" w:cs="Times New Roman"/>
              </w:rPr>
              <w:t>места).</w:t>
            </w:r>
          </w:p>
          <w:p w:rsidR="00130906" w:rsidRDefault="00130906">
            <w:pPr>
              <w:widowControl w:val="0"/>
              <w:spacing w:line="276" w:lineRule="auto"/>
              <w:contextualSpacing/>
              <w:jc w:val="both"/>
              <w:textAlignment w:val="top"/>
              <w:rPr>
                <w:rFonts w:cs="Times New Roman"/>
              </w:rPr>
            </w:pPr>
          </w:p>
          <w:p w:rsidR="00130906" w:rsidRDefault="00773E63">
            <w:pPr>
              <w:widowControl w:val="0"/>
              <w:snapToGrid w:val="0"/>
              <w:spacing w:line="276" w:lineRule="auto"/>
              <w:contextualSpacing/>
              <w:jc w:val="both"/>
              <w:textAlignment w:val="top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Расположить на расстоянии не менее 50 см от глаз (оптимально 60-70 см).</w:t>
            </w:r>
          </w:p>
        </w:tc>
      </w:tr>
      <w:tr w:rsidR="00130906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0906" w:rsidRDefault="00773E63"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Клавиатура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906" w:rsidRDefault="00773E63"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Расположить на поверхности стола на расстоянии 100-300 мм от края, обращенного к пользователю.</w:t>
            </w:r>
          </w:p>
        </w:tc>
      </w:tr>
    </w:tbl>
    <w:p w:rsidR="00130906" w:rsidRDefault="00773E63">
      <w:pPr>
        <w:pStyle w:val="aff0"/>
        <w:spacing w:line="360" w:lineRule="auto"/>
        <w:ind w:left="0" w:firstLine="720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Инструмент и оборудование, не разрешенное к самостоятельному </w:t>
      </w:r>
      <w:r>
        <w:rPr>
          <w:rFonts w:eastAsia="Times New Roman" w:cs="Times New Roman"/>
          <w:color w:val="000000"/>
          <w:sz w:val="28"/>
          <w:szCs w:val="28"/>
        </w:rPr>
        <w:t>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</w:r>
    </w:p>
    <w:p w:rsidR="00130906" w:rsidRDefault="00773E63">
      <w:pPr>
        <w:pStyle w:val="aff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 день проведения конкурса изучить содержание и поряд</w:t>
      </w:r>
      <w:r>
        <w:rPr>
          <w:rFonts w:eastAsia="Times New Roman" w:cs="Times New Roman"/>
          <w:color w:val="000000"/>
          <w:sz w:val="28"/>
          <w:szCs w:val="28"/>
        </w:rPr>
        <w:t>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:rsidR="00130906" w:rsidRDefault="00773E63">
      <w:pPr>
        <w:pStyle w:val="aff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Ежедневно, перед началом выполнения конкурсного задания, в процессе подготовки рабочего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места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:о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>смотрет</w:t>
      </w:r>
      <w:r>
        <w:rPr>
          <w:rFonts w:eastAsia="Times New Roman" w:cs="Times New Roman"/>
          <w:color w:val="000000"/>
          <w:sz w:val="28"/>
          <w:szCs w:val="28"/>
        </w:rPr>
        <w:t>ь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и привести в порядок рабочее место, средства индивидуальной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защиты;убедиться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в достаточности освещенности; проверить (визуально) правильность подключения инструмента и оборудования в электросеть; проверить </w:t>
      </w:r>
      <w:r>
        <w:rPr>
          <w:rFonts w:eastAsia="Times New Roman" w:cs="Times New Roman"/>
          <w:color w:val="000000"/>
          <w:sz w:val="28"/>
          <w:szCs w:val="28"/>
        </w:rPr>
        <w:lastRenderedPageBreak/>
        <w:t>правильность установки стола, стула, положения о</w:t>
      </w:r>
      <w:r>
        <w:rPr>
          <w:rFonts w:eastAsia="Times New Roman" w:cs="Times New Roman"/>
          <w:color w:val="000000"/>
          <w:sz w:val="28"/>
          <w:szCs w:val="28"/>
        </w:rPr>
        <w:t>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:rsidR="00130906" w:rsidRDefault="00773E63">
      <w:pPr>
        <w:pStyle w:val="aff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Подготовить необходимые для работы материалы, приспособления, и разложить их на свои места, убр</w:t>
      </w:r>
      <w:r>
        <w:rPr>
          <w:rFonts w:eastAsia="Times New Roman" w:cs="Times New Roman"/>
          <w:color w:val="000000"/>
          <w:sz w:val="28"/>
          <w:szCs w:val="28"/>
        </w:rPr>
        <w:t>ать с рабочего стола все лишнее.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4.2.Конкурсант не должны приступать к работе при нарушениях требований безопасности, указанных в настоящей инструкции.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4.3. Конкурсанту запрещается приступать к выполнению конкурсного задания при обнаружении неисправности и</w:t>
      </w:r>
      <w:r>
        <w:rPr>
          <w:rFonts w:eastAsia="Times New Roman" w:cs="Times New Roman"/>
          <w:color w:val="000000"/>
          <w:sz w:val="28"/>
          <w:szCs w:val="28"/>
        </w:rPr>
        <w:t>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:rsidR="00130906" w:rsidRDefault="00130906">
      <w:pP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9" w:name="_heading=h.3dy6vkm"/>
      <w:bookmarkEnd w:id="9"/>
    </w:p>
    <w:p w:rsidR="00130906" w:rsidRDefault="00773E63">
      <w:pPr>
        <w:pStyle w:val="Heading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10" w:name="_Toc169596424"/>
      <w:r>
        <w:rPr>
          <w:rFonts w:ascii="Times New Roman" w:hAnsi="Times New Roman" w:cs="Times New Roman"/>
          <w:color w:val="auto"/>
        </w:rPr>
        <w:t>5. Требования охраны труда во время выполнения работ</w:t>
      </w:r>
      <w:bookmarkEnd w:id="10"/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5.1. При выполнении </w:t>
      </w:r>
      <w:r>
        <w:rPr>
          <w:rFonts w:eastAsia="Times New Roman" w:cs="Times New Roman"/>
          <w:color w:val="000000"/>
          <w:sz w:val="28"/>
          <w:szCs w:val="28"/>
        </w:rPr>
        <w:t>конкурсных заданий конкурсанту необходимо соблюдать требования безопасности при использовании инструмента и оборудования:</w:t>
      </w:r>
    </w:p>
    <w:tbl>
      <w:tblPr>
        <w:tblW w:w="5000" w:type="pct"/>
        <w:tblInd w:w="113" w:type="dxa"/>
        <w:tblLayout w:type="fixed"/>
        <w:tblLook w:val="0000"/>
      </w:tblPr>
      <w:tblGrid>
        <w:gridCol w:w="2463"/>
        <w:gridCol w:w="7107"/>
      </w:tblGrid>
      <w:tr w:rsidR="00130906">
        <w:trPr>
          <w:tblHeader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0906" w:rsidRDefault="00773E63">
            <w:pPr>
              <w:widowControl w:val="0"/>
              <w:spacing w:line="276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</w:rPr>
              <w:t>Наименование инструмента/ оборудования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906" w:rsidRDefault="00773E63">
            <w:pPr>
              <w:widowControl w:val="0"/>
              <w:spacing w:line="276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</w:rPr>
              <w:t>Требования безопасности</w:t>
            </w:r>
          </w:p>
        </w:tc>
      </w:tr>
      <w:tr w:rsidR="00130906"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0906" w:rsidRDefault="00773E63"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Системный блок, монитор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906" w:rsidRDefault="00773E63"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Держать открытыми все вентиляционные отверстия</w:t>
            </w:r>
            <w:r>
              <w:rPr>
                <w:rFonts w:eastAsia="Times New Roman" w:cs="Times New Roman"/>
              </w:rPr>
              <w:t xml:space="preserve"> устройств. При необходимости прекращения работы на некоторое время корректно закрыть все активные задачи.</w:t>
            </w:r>
          </w:p>
          <w:p w:rsidR="00130906" w:rsidRDefault="00773E63"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b/>
              </w:rPr>
              <w:t>Запрещается:</w:t>
            </w:r>
          </w:p>
          <w:p w:rsidR="00130906" w:rsidRDefault="00773E63"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- касаться одновременно экрана монитора и клавиатуры;</w:t>
            </w:r>
          </w:p>
          <w:p w:rsidR="00130906" w:rsidRDefault="00773E63"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- прикасаться к задней панели системного блока при включенном питании;</w:t>
            </w:r>
          </w:p>
          <w:p w:rsidR="00130906" w:rsidRDefault="00773E63"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- переключе</w:t>
            </w:r>
            <w:r>
              <w:rPr>
                <w:rFonts w:eastAsia="Times New Roman" w:cs="Times New Roman"/>
              </w:rPr>
              <w:t>ние разъемов интерфейсных кабелей периферийных устрой</w:t>
            </w:r>
            <w:proofErr w:type="gramStart"/>
            <w:r>
              <w:rPr>
                <w:rFonts w:eastAsia="Times New Roman" w:cs="Times New Roman"/>
              </w:rPr>
              <w:t>ств пр</w:t>
            </w:r>
            <w:proofErr w:type="gramEnd"/>
            <w:r>
              <w:rPr>
                <w:rFonts w:eastAsia="Times New Roman" w:cs="Times New Roman"/>
              </w:rPr>
              <w:t>и включенном питании;</w:t>
            </w:r>
          </w:p>
          <w:p w:rsidR="00130906" w:rsidRDefault="00773E63"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- производить отключение питания во время выполнения активной задачи;</w:t>
            </w:r>
          </w:p>
          <w:p w:rsidR="00130906" w:rsidRDefault="00773E63"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- производить частые переключения питания;</w:t>
            </w:r>
          </w:p>
          <w:p w:rsidR="00130906" w:rsidRDefault="00773E63"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- допускать попадание влаги на поверхность системного блока, м</w:t>
            </w:r>
            <w:r>
              <w:rPr>
                <w:rFonts w:eastAsia="Times New Roman" w:cs="Times New Roman"/>
              </w:rPr>
              <w:t>онитора, рабочую поверхность клавиатуры, дисковода, принтера и др. устройств;</w:t>
            </w:r>
          </w:p>
          <w:p w:rsidR="00130906" w:rsidRDefault="00773E63"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- производить самостоятельное вскрытие и ремонт оборудования.</w:t>
            </w:r>
          </w:p>
        </w:tc>
      </w:tr>
      <w:tr w:rsidR="00130906"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0906" w:rsidRDefault="00773E63"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Мышь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906" w:rsidRDefault="00773E63"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Желательно применять специальный коврик.</w:t>
            </w:r>
          </w:p>
        </w:tc>
      </w:tr>
    </w:tbl>
    <w:p w:rsidR="00130906" w:rsidRDefault="00130906">
      <w:pP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5.2.При выполнении конкурсных заданий и уборке рабочих мест: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необходимо быть внимательным, не отвлекаться посторонними разговорами и делами, не отвлекать других участников; 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соблюдать настоящую инструкцию; 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соблюдать правила эксплуатации оборудования; 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поддерживать порядок и чистоту на рабочем месте; 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- выпо</w:t>
      </w:r>
      <w:r>
        <w:rPr>
          <w:rFonts w:eastAsia="Times New Roman" w:cs="Times New Roman"/>
          <w:color w:val="000000"/>
          <w:sz w:val="28"/>
          <w:szCs w:val="28"/>
        </w:rPr>
        <w:t>лнять конкурсные задания только на исправном оборудовании.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11" w:name="_heading=h.1t3h5sf"/>
      <w:bookmarkEnd w:id="11"/>
      <w:r>
        <w:rPr>
          <w:rFonts w:eastAsia="Times New Roman" w:cs="Times New Roman"/>
          <w:color w:val="000000"/>
          <w:sz w:val="28"/>
          <w:szCs w:val="28"/>
        </w:rPr>
        <w:t>5.3. При неисправности инструмента и оборудования – прекратить выполнение конкурсного задания и сообщить об этом Эксперту, а в его отсутствие заместителю главного Эксперта.</w:t>
      </w:r>
    </w:p>
    <w:p w:rsidR="00130906" w:rsidRDefault="00130906">
      <w:pP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130906" w:rsidRDefault="00773E63">
      <w:pPr>
        <w:pStyle w:val="Heading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12" w:name="_Toc169596425"/>
      <w:r>
        <w:rPr>
          <w:rFonts w:ascii="Times New Roman" w:hAnsi="Times New Roman" w:cs="Times New Roman"/>
          <w:color w:val="auto"/>
        </w:rPr>
        <w:t xml:space="preserve">6. Требования охраны </w:t>
      </w:r>
      <w:r>
        <w:rPr>
          <w:rFonts w:ascii="Times New Roman" w:hAnsi="Times New Roman" w:cs="Times New Roman"/>
          <w:color w:val="auto"/>
        </w:rPr>
        <w:t>труда в аварийных ситуациях</w:t>
      </w:r>
      <w:bookmarkEnd w:id="12"/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 При возникновении аварий и ситуаций, которые могут привести к авариям и несчастным случаям, необходимо: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6.1.1. Немедленно прекратить работы и известить главного эксперта.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6.1.2. Под руководством технического эксперта операт</w:t>
      </w:r>
      <w:r>
        <w:rPr>
          <w:rFonts w:eastAsia="Times New Roman" w:cs="Times New Roman"/>
          <w:color w:val="000000"/>
          <w:sz w:val="28"/>
          <w:szCs w:val="28"/>
        </w:rPr>
        <w:t>ивно принять меры по устранению причин аварий или ситуаций, которые могут привести к авариям или несчастным случаям.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6.2. При обнаружении в процессе работы возгораний </w:t>
      </w:r>
      <w:bookmarkStart w:id="13" w:name="_Hlk165567565"/>
      <w:r>
        <w:rPr>
          <w:rFonts w:eastAsia="Times New Roman" w:cs="Times New Roman"/>
          <w:color w:val="000000"/>
          <w:sz w:val="28"/>
          <w:szCs w:val="28"/>
        </w:rPr>
        <w:t>необходимо: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6.2.1. Немедленно оповестить Главного эксперта и экспертов. При последующем р</w:t>
      </w:r>
      <w:r>
        <w:rPr>
          <w:rFonts w:eastAsia="Times New Roman" w:cs="Times New Roman"/>
          <w:color w:val="000000"/>
          <w:sz w:val="28"/>
          <w:szCs w:val="28"/>
        </w:rPr>
        <w:t>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  <w:bookmarkEnd w:id="13"/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6.2.2. При обнаружении очага возгорания на конкурсной площадке необходимо любым возможным спосо</w:t>
      </w:r>
      <w:r>
        <w:rPr>
          <w:rFonts w:eastAsia="Times New Roman" w:cs="Times New Roman"/>
          <w:color w:val="000000"/>
          <w:sz w:val="28"/>
          <w:szCs w:val="28"/>
        </w:rPr>
        <w:t>бом постараться загасить пламя в "зародыше" с обязательным соблюдением мер личной безопасности.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6.2.3. 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</w:t>
      </w:r>
      <w:r>
        <w:rPr>
          <w:rFonts w:eastAsia="Times New Roman" w:cs="Times New Roman"/>
          <w:color w:val="000000"/>
          <w:sz w:val="28"/>
          <w:szCs w:val="28"/>
        </w:rPr>
        <w:t xml:space="preserve"> куском плотной ткани, облиться водой, запрещается бежать – бег только усилит интенсивность горения.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6.2.4. В загоревшемся помещении не следует дожидаться, пока приблизится пламя. Основная опасность пожара для человека – дым. При наступлении признаков удуш</w:t>
      </w:r>
      <w:r>
        <w:rPr>
          <w:rFonts w:eastAsia="Times New Roman" w:cs="Times New Roman"/>
          <w:color w:val="000000"/>
          <w:sz w:val="28"/>
          <w:szCs w:val="28"/>
        </w:rPr>
        <w:t>ья лечь на пол и как можно быстрее ползти в сторону эвакуационного выхода.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6.3.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</w:t>
      </w:r>
      <w:r>
        <w:rPr>
          <w:rFonts w:eastAsia="Times New Roman" w:cs="Times New Roman"/>
          <w:color w:val="000000"/>
          <w:sz w:val="28"/>
          <w:szCs w:val="28"/>
        </w:rPr>
        <w:t xml:space="preserve">ному эксперту. 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6.4. В случае возникновения пожара: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6.4.1. Оповестить всех участников Финала,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</w:t>
      </w:r>
      <w:r>
        <w:rPr>
          <w:rFonts w:eastAsia="Times New Roman" w:cs="Times New Roman"/>
          <w:color w:val="000000"/>
          <w:sz w:val="28"/>
          <w:szCs w:val="28"/>
        </w:rPr>
        <w:t>ить углекислотным огнетушителем.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6.4.2. Принять меры к вызову на место пожара непосредственного руководителя или других должностных лиц.</w:t>
      </w:r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6.5. При обнаружении взрывоопасного или подозрительного предмета нельзя подходить к нему близко, необходимо </w:t>
      </w:r>
      <w:r>
        <w:rPr>
          <w:rFonts w:eastAsia="Times New Roman" w:cs="Times New Roman"/>
          <w:color w:val="000000"/>
          <w:sz w:val="28"/>
          <w:szCs w:val="28"/>
        </w:rPr>
        <w:t>предупредить о возможной опасности главного эксперта или других должностных лиц.</w:t>
      </w:r>
    </w:p>
    <w:p w:rsidR="00130906" w:rsidRDefault="00130906">
      <w:pP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14" w:name="_heading=h.4d34og8"/>
      <w:bookmarkEnd w:id="14"/>
    </w:p>
    <w:p w:rsidR="00130906" w:rsidRDefault="00773E63">
      <w:pPr>
        <w:pStyle w:val="Heading1"/>
        <w:spacing w:before="0" w:line="360" w:lineRule="auto"/>
        <w:contextualSpacing/>
        <w:jc w:val="center"/>
        <w:rPr>
          <w:rFonts w:ascii="Times New Roman" w:eastAsia="Times New Roman" w:hAnsi="Times New Roman" w:cs="Times New Roman"/>
          <w:color w:val="auto"/>
        </w:rPr>
      </w:pPr>
      <w:bookmarkStart w:id="15" w:name="_Toc169596426"/>
      <w:r>
        <w:rPr>
          <w:rFonts w:ascii="Times New Roman" w:hAnsi="Times New Roman" w:cs="Times New Roman"/>
          <w:color w:val="auto"/>
        </w:rPr>
        <w:t>7. Требования охраны труда по окончании работы</w:t>
      </w:r>
      <w:bookmarkEnd w:id="15"/>
    </w:p>
    <w:p w:rsidR="00130906" w:rsidRDefault="00773E63">
      <w:pP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7.1. После окончания работ каждый конкурсант обязан:</w:t>
      </w:r>
    </w:p>
    <w:p w:rsidR="00130906" w:rsidRDefault="00773E63">
      <w:pPr>
        <w:pStyle w:val="aff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Привести в порядок рабочее место. </w:t>
      </w:r>
    </w:p>
    <w:p w:rsidR="00130906" w:rsidRDefault="00773E63">
      <w:pPr>
        <w:pStyle w:val="aff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Убрать средства индивидуальной защиты в</w:t>
      </w:r>
      <w:r>
        <w:rPr>
          <w:rFonts w:eastAsia="Times New Roman" w:cs="Times New Roman"/>
          <w:color w:val="000000"/>
          <w:sz w:val="28"/>
          <w:szCs w:val="28"/>
        </w:rPr>
        <w:t xml:space="preserve"> отведенное для хранений место.</w:t>
      </w:r>
    </w:p>
    <w:p w:rsidR="00130906" w:rsidRDefault="00773E63">
      <w:pPr>
        <w:pStyle w:val="aff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Отключить инструмент и оборудование от сети.</w:t>
      </w:r>
    </w:p>
    <w:p w:rsidR="00130906" w:rsidRDefault="00773E63">
      <w:pPr>
        <w:pStyle w:val="aff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Инструмент убрать в специально предназначенное для хранений место.</w:t>
      </w:r>
    </w:p>
    <w:p w:rsidR="00130906" w:rsidRDefault="00773E63">
      <w:pPr>
        <w:pStyle w:val="aff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Сообщить эксперту о выявленных во время выполнения конкурсных заданий неполадках и неисправностях оборудования и</w:t>
      </w:r>
      <w:r>
        <w:rPr>
          <w:rFonts w:eastAsia="Times New Roman" w:cs="Times New Roman"/>
          <w:color w:val="000000"/>
          <w:sz w:val="28"/>
          <w:szCs w:val="28"/>
        </w:rPr>
        <w:t xml:space="preserve"> инструмента, и других факторах, влияющих на безопасность выполнения конкурсного задания.</w:t>
      </w:r>
    </w:p>
    <w:p w:rsidR="00130906" w:rsidRDefault="00130906">
      <w:pPr>
        <w:pStyle w:val="aff0"/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sectPr w:rsidR="00130906" w:rsidSect="00130906">
      <w:footerReference w:type="default" r:id="rId11"/>
      <w:footerReference w:type="first" r:id="rId12"/>
      <w:pgSz w:w="11906" w:h="16838"/>
      <w:pgMar w:top="1134" w:right="851" w:bottom="1134" w:left="1701" w:header="0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906" w:rsidRDefault="00130906" w:rsidP="00130906">
      <w:pPr>
        <w:spacing w:line="240" w:lineRule="auto"/>
      </w:pPr>
      <w:r>
        <w:separator/>
      </w:r>
    </w:p>
  </w:endnote>
  <w:endnote w:type="continuationSeparator" w:id="0">
    <w:p w:rsidR="00130906" w:rsidRDefault="00130906" w:rsidP="0013090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06" w:rsidRDefault="00130906">
    <w:pPr>
      <w:tabs>
        <w:tab w:val="center" w:pos="4677"/>
        <w:tab w:val="right" w:pos="9355"/>
      </w:tabs>
      <w:spacing w:line="240" w:lineRule="auto"/>
      <w:jc w:val="right"/>
      <w:rPr>
        <w:rFonts w:cs="Times New Roman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06" w:rsidRDefault="00130906">
    <w:pPr>
      <w:tabs>
        <w:tab w:val="center" w:pos="4677"/>
        <w:tab w:val="right" w:pos="9355"/>
      </w:tabs>
      <w:spacing w:line="240" w:lineRule="auto"/>
      <w:jc w:val="right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 w:rsidR="00773E63">
      <w:rPr>
        <w:rFonts w:cs="Times New Roman"/>
        <w:color w:val="000000"/>
      </w:rPr>
      <w:instrText xml:space="preserve"> PAGE </w:instrText>
    </w:r>
    <w:r>
      <w:rPr>
        <w:rFonts w:cs="Times New Roman"/>
        <w:color w:val="000000"/>
      </w:rPr>
      <w:fldChar w:fldCharType="separate"/>
    </w:r>
    <w:r w:rsidR="00773E63">
      <w:rPr>
        <w:rFonts w:cs="Times New Roman"/>
        <w:noProof/>
        <w:color w:val="000000"/>
      </w:rPr>
      <w:t>5</w:t>
    </w:r>
    <w:r>
      <w:rPr>
        <w:rFonts w:cs="Times New Roman"/>
        <w:color w:val="00000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06" w:rsidRDefault="00130906">
    <w:pPr>
      <w:tabs>
        <w:tab w:val="center" w:pos="4677"/>
        <w:tab w:val="right" w:pos="9355"/>
      </w:tabs>
      <w:spacing w:line="240" w:lineRule="auto"/>
      <w:jc w:val="right"/>
      <w:rPr>
        <w:rFonts w:cs="Times New Roman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906" w:rsidRDefault="00130906" w:rsidP="00130906">
      <w:pPr>
        <w:spacing w:line="240" w:lineRule="auto"/>
      </w:pPr>
      <w:r>
        <w:separator/>
      </w:r>
    </w:p>
  </w:footnote>
  <w:footnote w:type="continuationSeparator" w:id="0">
    <w:p w:rsidR="00130906" w:rsidRDefault="00130906" w:rsidP="001309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11E0"/>
    <w:multiLevelType w:val="multilevel"/>
    <w:tmpl w:val="C2A819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1D82F7A"/>
    <w:multiLevelType w:val="multilevel"/>
    <w:tmpl w:val="255481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906"/>
    <w:rsid w:val="00130906"/>
    <w:rsid w:val="00773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519"/>
    <w:pPr>
      <w:spacing w:line="1" w:lineRule="atLeast"/>
      <w:outlineLvl w:val="0"/>
    </w:pPr>
    <w:rPr>
      <w:rFonts w:ascii="Times New Roman" w:hAnsi="Times New Roman"/>
      <w:sz w:val="24"/>
      <w:szCs w:val="24"/>
      <w:vertAlign w:val="subscript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1"/>
    <w:qFormat/>
    <w:rsid w:val="00D32519"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Heading2">
    <w:name w:val="Heading 2"/>
    <w:basedOn w:val="a"/>
    <w:next w:val="a"/>
    <w:link w:val="21"/>
    <w:qFormat/>
    <w:rsid w:val="00D3251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link w:val="3"/>
    <w:qFormat/>
    <w:rsid w:val="00D325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a"/>
    <w:next w:val="a"/>
    <w:link w:val="4"/>
    <w:qFormat/>
    <w:rsid w:val="00D32519"/>
    <w:pPr>
      <w:keepNext/>
      <w:keepLines/>
      <w:spacing w:before="240" w:after="40"/>
      <w:outlineLvl w:val="3"/>
    </w:pPr>
    <w:rPr>
      <w:b/>
    </w:rPr>
  </w:style>
  <w:style w:type="paragraph" w:customStyle="1" w:styleId="Heading5">
    <w:name w:val="Heading 5"/>
    <w:basedOn w:val="a"/>
    <w:next w:val="a"/>
    <w:link w:val="5"/>
    <w:qFormat/>
    <w:rsid w:val="00D325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basedOn w:val="a"/>
    <w:next w:val="a"/>
    <w:link w:val="6"/>
    <w:qFormat/>
    <w:rsid w:val="00D3251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D3251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D3251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D3251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sid w:val="00D3251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D3251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D3251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D3251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D3251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D3251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D3251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D3251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D3251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D32519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D32519"/>
    <w:rPr>
      <w:sz w:val="24"/>
      <w:szCs w:val="24"/>
    </w:rPr>
  </w:style>
  <w:style w:type="character" w:customStyle="1" w:styleId="QuoteChar">
    <w:name w:val="Quote Char"/>
    <w:uiPriority w:val="29"/>
    <w:qFormat/>
    <w:rsid w:val="00D32519"/>
    <w:rPr>
      <w:i/>
    </w:rPr>
  </w:style>
  <w:style w:type="character" w:customStyle="1" w:styleId="IntenseQuoteChar">
    <w:name w:val="Intense Quote Char"/>
    <w:uiPriority w:val="30"/>
    <w:qFormat/>
    <w:rsid w:val="00D32519"/>
    <w:rPr>
      <w:i/>
    </w:rPr>
  </w:style>
  <w:style w:type="character" w:customStyle="1" w:styleId="HeaderChar">
    <w:name w:val="Header Char"/>
    <w:basedOn w:val="a0"/>
    <w:uiPriority w:val="99"/>
    <w:qFormat/>
    <w:rsid w:val="00D32519"/>
  </w:style>
  <w:style w:type="character" w:customStyle="1" w:styleId="CaptionChar">
    <w:name w:val="Caption Char"/>
    <w:uiPriority w:val="99"/>
    <w:qFormat/>
    <w:rsid w:val="00D32519"/>
  </w:style>
  <w:style w:type="character" w:customStyle="1" w:styleId="FootnoteTextChar">
    <w:name w:val="Footnote Text Char"/>
    <w:uiPriority w:val="99"/>
    <w:qFormat/>
    <w:rsid w:val="00D32519"/>
    <w:rPr>
      <w:sz w:val="18"/>
    </w:rPr>
  </w:style>
  <w:style w:type="character" w:customStyle="1" w:styleId="EndnoteTextChar">
    <w:name w:val="Endnote Text Char"/>
    <w:uiPriority w:val="99"/>
    <w:qFormat/>
    <w:rsid w:val="00D32519"/>
    <w:rPr>
      <w:sz w:val="20"/>
    </w:rPr>
  </w:style>
  <w:style w:type="character" w:customStyle="1" w:styleId="11">
    <w:name w:val="Заголовок 1 Знак1"/>
    <w:link w:val="Heading1"/>
    <w:uiPriority w:val="9"/>
    <w:qFormat/>
    <w:rsid w:val="00D3251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Heading2"/>
    <w:uiPriority w:val="9"/>
    <w:qFormat/>
    <w:rsid w:val="00D32519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qFormat/>
    <w:rsid w:val="00D3251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qFormat/>
    <w:rsid w:val="00D3251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qFormat/>
    <w:rsid w:val="00D3251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qFormat/>
    <w:rsid w:val="00D3251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qFormat/>
    <w:rsid w:val="00D3251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qFormat/>
    <w:rsid w:val="00D3251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qFormat/>
    <w:rsid w:val="00D3251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qFormat/>
    <w:rsid w:val="00D32519"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sid w:val="00D32519"/>
    <w:rPr>
      <w:sz w:val="24"/>
      <w:szCs w:val="24"/>
    </w:rPr>
  </w:style>
  <w:style w:type="character" w:customStyle="1" w:styleId="2">
    <w:name w:val="Цитата 2 Знак"/>
    <w:link w:val="20"/>
    <w:uiPriority w:val="29"/>
    <w:qFormat/>
    <w:rsid w:val="00D32519"/>
    <w:rPr>
      <w:i/>
    </w:rPr>
  </w:style>
  <w:style w:type="character" w:customStyle="1" w:styleId="a7">
    <w:name w:val="Выделенная цитата Знак"/>
    <w:link w:val="a8"/>
    <w:uiPriority w:val="30"/>
    <w:qFormat/>
    <w:rsid w:val="00D32519"/>
    <w:rPr>
      <w:i/>
    </w:rPr>
  </w:style>
  <w:style w:type="character" w:customStyle="1" w:styleId="1">
    <w:name w:val="Верхний колонтитул Знак1"/>
    <w:link w:val="Header"/>
    <w:uiPriority w:val="99"/>
    <w:qFormat/>
    <w:rsid w:val="00D32519"/>
  </w:style>
  <w:style w:type="character" w:customStyle="1" w:styleId="FooterChar">
    <w:name w:val="Footer Char"/>
    <w:uiPriority w:val="99"/>
    <w:qFormat/>
    <w:rsid w:val="00D32519"/>
  </w:style>
  <w:style w:type="character" w:customStyle="1" w:styleId="10">
    <w:name w:val="Нижний колонтитул Знак1"/>
    <w:link w:val="Footer"/>
    <w:uiPriority w:val="99"/>
    <w:qFormat/>
    <w:rsid w:val="00D32519"/>
  </w:style>
  <w:style w:type="character" w:styleId="a9">
    <w:name w:val="Hyperlink"/>
    <w:uiPriority w:val="99"/>
    <w:qFormat/>
    <w:rsid w:val="00D32519"/>
    <w:rPr>
      <w:color w:val="0000FF"/>
      <w:position w:val="0"/>
      <w:sz w:val="20"/>
      <w:u w:val="single"/>
      <w:vertAlign w:val="baseline"/>
    </w:rPr>
  </w:style>
  <w:style w:type="character" w:customStyle="1" w:styleId="12">
    <w:name w:val="Текст сноски Знак1"/>
    <w:link w:val="FootnoteText"/>
    <w:uiPriority w:val="99"/>
    <w:qFormat/>
    <w:rsid w:val="00D32519"/>
    <w:rPr>
      <w:sz w:val="18"/>
    </w:rPr>
  </w:style>
  <w:style w:type="character" w:customStyle="1" w:styleId="aa">
    <w:name w:val="Символ сноски"/>
    <w:qFormat/>
    <w:rsid w:val="00D32519"/>
    <w:rPr>
      <w:vertAlign w:val="superscript"/>
    </w:rPr>
  </w:style>
  <w:style w:type="character" w:customStyle="1" w:styleId="FootnoteReference">
    <w:name w:val="Footnote Reference"/>
    <w:rsid w:val="00130906"/>
    <w:rPr>
      <w:vertAlign w:val="superscript"/>
    </w:rPr>
  </w:style>
  <w:style w:type="character" w:customStyle="1" w:styleId="ab">
    <w:name w:val="Текст концевой сноски Знак"/>
    <w:link w:val="EndnoteText"/>
    <w:uiPriority w:val="99"/>
    <w:qFormat/>
    <w:rsid w:val="00D32519"/>
    <w:rPr>
      <w:sz w:val="20"/>
    </w:rPr>
  </w:style>
  <w:style w:type="character" w:customStyle="1" w:styleId="ac">
    <w:name w:val="Символ концевой сноски"/>
    <w:uiPriority w:val="99"/>
    <w:semiHidden/>
    <w:unhideWhenUsed/>
    <w:qFormat/>
    <w:rsid w:val="00D32519"/>
    <w:rPr>
      <w:vertAlign w:val="superscript"/>
    </w:rPr>
  </w:style>
  <w:style w:type="character" w:customStyle="1" w:styleId="EndnoteReference">
    <w:name w:val="Endnote Reference"/>
    <w:rsid w:val="00130906"/>
    <w:rPr>
      <w:vertAlign w:val="superscript"/>
    </w:rPr>
  </w:style>
  <w:style w:type="character" w:customStyle="1" w:styleId="ad">
    <w:name w:val="Текст выноски Знак"/>
    <w:qFormat/>
    <w:rsid w:val="00D32519"/>
    <w:rPr>
      <w:rFonts w:ascii="Tahoma" w:hAnsi="Tahoma" w:cs="Tahoma"/>
      <w:position w:val="0"/>
      <w:sz w:val="16"/>
      <w:szCs w:val="16"/>
      <w:vertAlign w:val="baseline"/>
      <w:lang w:eastAsia="ru-RU"/>
    </w:rPr>
  </w:style>
  <w:style w:type="character" w:customStyle="1" w:styleId="apple-converted-space">
    <w:name w:val="apple-converted-space"/>
    <w:basedOn w:val="a0"/>
    <w:qFormat/>
    <w:rsid w:val="00D32519"/>
    <w:rPr>
      <w:position w:val="0"/>
      <w:sz w:val="20"/>
      <w:vertAlign w:val="baseline"/>
    </w:rPr>
  </w:style>
  <w:style w:type="character" w:customStyle="1" w:styleId="ae">
    <w:name w:val="Верхний колонтитул Знак"/>
    <w:qFormat/>
    <w:rsid w:val="00D32519"/>
    <w:rPr>
      <w:rFonts w:ascii="Calibri" w:hAnsi="Calibri"/>
      <w:position w:val="0"/>
      <w:sz w:val="22"/>
      <w:szCs w:val="22"/>
      <w:vertAlign w:val="baseline"/>
      <w:lang w:val="ru-RU" w:eastAsia="ru-RU" w:bidi="ar-SA"/>
    </w:rPr>
  </w:style>
  <w:style w:type="character" w:customStyle="1" w:styleId="af">
    <w:name w:val="Нижний колонтитул Знак"/>
    <w:qFormat/>
    <w:rsid w:val="00D32519"/>
    <w:rPr>
      <w:rFonts w:ascii="Calibri" w:hAnsi="Calibri"/>
      <w:position w:val="0"/>
      <w:sz w:val="22"/>
      <w:szCs w:val="22"/>
      <w:vertAlign w:val="baseline"/>
      <w:lang w:val="ru-RU" w:eastAsia="ru-RU" w:bidi="ar-SA"/>
    </w:rPr>
  </w:style>
  <w:style w:type="character" w:customStyle="1" w:styleId="13">
    <w:name w:val="Заголовок 1 Знак"/>
    <w:qFormat/>
    <w:rsid w:val="00D32519"/>
    <w:rPr>
      <w:rFonts w:ascii="Cambria" w:hAnsi="Cambria"/>
      <w:b/>
      <w:bCs/>
      <w:color w:val="365F91"/>
      <w:position w:val="0"/>
      <w:sz w:val="28"/>
      <w:szCs w:val="28"/>
      <w:vertAlign w:val="baseline"/>
      <w:lang w:val="ru-RU" w:eastAsia="ru-RU" w:bidi="ar-SA"/>
    </w:rPr>
  </w:style>
  <w:style w:type="character" w:customStyle="1" w:styleId="22">
    <w:name w:val="Заголовок 2 Знак"/>
    <w:qFormat/>
    <w:rsid w:val="00D32519"/>
    <w:rPr>
      <w:rFonts w:ascii="Cambria" w:eastAsia="Times New Roman" w:hAnsi="Cambria" w:cs="Times New Roman"/>
      <w:b/>
      <w:bCs/>
      <w:i/>
      <w:iCs/>
      <w:position w:val="0"/>
      <w:sz w:val="28"/>
      <w:szCs w:val="28"/>
      <w:vertAlign w:val="baseline"/>
    </w:rPr>
  </w:style>
  <w:style w:type="character" w:customStyle="1" w:styleId="af0">
    <w:name w:val="Текст сноски Знак"/>
    <w:qFormat/>
    <w:rsid w:val="00D32519"/>
    <w:rPr>
      <w:rFonts w:ascii="Times New Roman" w:hAnsi="Times New Roman"/>
      <w:position w:val="0"/>
      <w:sz w:val="20"/>
      <w:vertAlign w:val="baseline"/>
    </w:rPr>
  </w:style>
  <w:style w:type="character" w:styleId="af1">
    <w:name w:val="annotation reference"/>
    <w:basedOn w:val="a0"/>
    <w:uiPriority w:val="99"/>
    <w:semiHidden/>
    <w:unhideWhenUsed/>
    <w:qFormat/>
    <w:rsid w:val="00A7162A"/>
    <w:rPr>
      <w:sz w:val="16"/>
      <w:szCs w:val="16"/>
    </w:rPr>
  </w:style>
  <w:style w:type="character" w:customStyle="1" w:styleId="af2">
    <w:name w:val="Текст примечания Знак"/>
    <w:basedOn w:val="a0"/>
    <w:link w:val="af3"/>
    <w:uiPriority w:val="99"/>
    <w:semiHidden/>
    <w:qFormat/>
    <w:rsid w:val="00A7162A"/>
    <w:rPr>
      <w:rFonts w:ascii="Times New Roman" w:hAnsi="Times New Roman"/>
      <w:vertAlign w:val="subscript"/>
      <w:lang w:eastAsia="ru-RU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A7162A"/>
    <w:rPr>
      <w:rFonts w:ascii="Times New Roman" w:hAnsi="Times New Roman"/>
      <w:b/>
      <w:bCs/>
      <w:vertAlign w:val="subscript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922E9A"/>
    <w:rPr>
      <w:color w:val="605E5C"/>
      <w:shd w:val="clear" w:color="auto" w:fill="E1DFDD"/>
    </w:rPr>
  </w:style>
  <w:style w:type="character" w:customStyle="1" w:styleId="af6">
    <w:name w:val="Ссылка указателя"/>
    <w:qFormat/>
    <w:rsid w:val="00130906"/>
  </w:style>
  <w:style w:type="paragraph" w:customStyle="1" w:styleId="af7">
    <w:name w:val="Заголовок"/>
    <w:basedOn w:val="a"/>
    <w:next w:val="af8"/>
    <w:qFormat/>
    <w:rsid w:val="0013090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8">
    <w:name w:val="Body Text"/>
    <w:basedOn w:val="a"/>
    <w:rsid w:val="00130906"/>
    <w:pPr>
      <w:spacing w:after="140" w:line="276" w:lineRule="auto"/>
    </w:pPr>
  </w:style>
  <w:style w:type="paragraph" w:styleId="af9">
    <w:name w:val="List"/>
    <w:basedOn w:val="af8"/>
    <w:rsid w:val="00130906"/>
    <w:rPr>
      <w:rFonts w:cs="Arial Unicode MS"/>
    </w:rPr>
  </w:style>
  <w:style w:type="paragraph" w:customStyle="1" w:styleId="Caption">
    <w:name w:val="Caption"/>
    <w:basedOn w:val="a"/>
    <w:qFormat/>
    <w:rsid w:val="00130906"/>
    <w:pPr>
      <w:suppressLineNumbers/>
      <w:spacing w:before="120" w:after="120"/>
    </w:pPr>
    <w:rPr>
      <w:rFonts w:cs="Arial Unicode MS"/>
      <w:i/>
      <w:iCs/>
    </w:rPr>
  </w:style>
  <w:style w:type="paragraph" w:styleId="afa">
    <w:name w:val="index heading"/>
    <w:basedOn w:val="a"/>
    <w:qFormat/>
    <w:rsid w:val="00130906"/>
    <w:pPr>
      <w:suppressLineNumbers/>
    </w:pPr>
    <w:rPr>
      <w:rFonts w:cs="Arial Unicode MS"/>
    </w:rPr>
  </w:style>
  <w:style w:type="paragraph" w:styleId="afb">
    <w:name w:val="No Spacing"/>
    <w:qFormat/>
    <w:rsid w:val="00D32519"/>
    <w:pPr>
      <w:spacing w:line="1" w:lineRule="atLeast"/>
      <w:outlineLvl w:val="0"/>
    </w:pPr>
    <w:rPr>
      <w:rFonts w:ascii="Times New Roman" w:hAnsi="Times New Roman"/>
      <w:sz w:val="24"/>
      <w:szCs w:val="24"/>
      <w:vertAlign w:val="subscript"/>
      <w:lang w:eastAsia="ru-RU"/>
    </w:rPr>
  </w:style>
  <w:style w:type="paragraph" w:styleId="20">
    <w:name w:val="Quote"/>
    <w:basedOn w:val="a"/>
    <w:next w:val="a"/>
    <w:link w:val="2"/>
    <w:uiPriority w:val="29"/>
    <w:qFormat/>
    <w:rsid w:val="00D32519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D3251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c">
    <w:name w:val="Колонтитул"/>
    <w:basedOn w:val="a"/>
    <w:qFormat/>
    <w:rsid w:val="00130906"/>
  </w:style>
  <w:style w:type="paragraph" w:customStyle="1" w:styleId="Header">
    <w:name w:val="Header"/>
    <w:basedOn w:val="a"/>
    <w:link w:val="1"/>
    <w:qFormat/>
    <w:rsid w:val="00D3251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Footer">
    <w:name w:val="Footer"/>
    <w:basedOn w:val="a"/>
    <w:link w:val="10"/>
    <w:qFormat/>
    <w:rsid w:val="00D3251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afd">
    <w:name w:val="caption"/>
    <w:basedOn w:val="a"/>
    <w:next w:val="a"/>
    <w:uiPriority w:val="35"/>
    <w:semiHidden/>
    <w:unhideWhenUsed/>
    <w:qFormat/>
    <w:rsid w:val="00D32519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FootnoteText">
    <w:name w:val="Footnote Text"/>
    <w:basedOn w:val="a"/>
    <w:link w:val="12"/>
    <w:qFormat/>
    <w:rsid w:val="00D32519"/>
    <w:rPr>
      <w:sz w:val="20"/>
      <w:szCs w:val="20"/>
    </w:rPr>
  </w:style>
  <w:style w:type="paragraph" w:customStyle="1" w:styleId="EndnoteText">
    <w:name w:val="Endnote Text"/>
    <w:basedOn w:val="a"/>
    <w:link w:val="ab"/>
    <w:uiPriority w:val="99"/>
    <w:semiHidden/>
    <w:unhideWhenUsed/>
    <w:rsid w:val="00D32519"/>
    <w:pPr>
      <w:spacing w:line="240" w:lineRule="auto"/>
    </w:pPr>
    <w:rPr>
      <w:sz w:val="20"/>
    </w:rPr>
  </w:style>
  <w:style w:type="paragraph" w:customStyle="1" w:styleId="TOC1">
    <w:name w:val="TOC 1"/>
    <w:basedOn w:val="a"/>
    <w:next w:val="a"/>
    <w:uiPriority w:val="39"/>
    <w:qFormat/>
    <w:rsid w:val="00D32519"/>
  </w:style>
  <w:style w:type="paragraph" w:customStyle="1" w:styleId="TOC2">
    <w:name w:val="TOC 2"/>
    <w:basedOn w:val="a"/>
    <w:next w:val="a"/>
    <w:uiPriority w:val="39"/>
    <w:qFormat/>
    <w:rsid w:val="00D32519"/>
    <w:pPr>
      <w:ind w:left="240"/>
    </w:pPr>
  </w:style>
  <w:style w:type="paragraph" w:customStyle="1" w:styleId="TOC3">
    <w:name w:val="TOC 3"/>
    <w:basedOn w:val="a"/>
    <w:next w:val="a"/>
    <w:uiPriority w:val="39"/>
    <w:unhideWhenUsed/>
    <w:rsid w:val="00D32519"/>
    <w:pPr>
      <w:spacing w:after="57"/>
      <w:ind w:left="567"/>
    </w:pPr>
  </w:style>
  <w:style w:type="paragraph" w:customStyle="1" w:styleId="TOC4">
    <w:name w:val="TOC 4"/>
    <w:basedOn w:val="a"/>
    <w:next w:val="a"/>
    <w:uiPriority w:val="39"/>
    <w:unhideWhenUsed/>
    <w:rsid w:val="00D32519"/>
    <w:pPr>
      <w:spacing w:after="57"/>
      <w:ind w:left="850"/>
    </w:pPr>
  </w:style>
  <w:style w:type="paragraph" w:customStyle="1" w:styleId="TOC5">
    <w:name w:val="TOC 5"/>
    <w:basedOn w:val="a"/>
    <w:next w:val="a"/>
    <w:uiPriority w:val="39"/>
    <w:unhideWhenUsed/>
    <w:rsid w:val="00D32519"/>
    <w:pPr>
      <w:spacing w:after="57"/>
      <w:ind w:left="1134"/>
    </w:pPr>
  </w:style>
  <w:style w:type="paragraph" w:customStyle="1" w:styleId="TOC6">
    <w:name w:val="TOC 6"/>
    <w:basedOn w:val="a"/>
    <w:next w:val="a"/>
    <w:uiPriority w:val="39"/>
    <w:unhideWhenUsed/>
    <w:rsid w:val="00D32519"/>
    <w:pPr>
      <w:spacing w:after="57"/>
      <w:ind w:left="1417"/>
    </w:pPr>
  </w:style>
  <w:style w:type="paragraph" w:customStyle="1" w:styleId="TOC7">
    <w:name w:val="TOC 7"/>
    <w:basedOn w:val="a"/>
    <w:next w:val="a"/>
    <w:uiPriority w:val="39"/>
    <w:unhideWhenUsed/>
    <w:rsid w:val="00D32519"/>
    <w:pPr>
      <w:spacing w:after="57"/>
      <w:ind w:left="1701"/>
    </w:pPr>
  </w:style>
  <w:style w:type="paragraph" w:customStyle="1" w:styleId="TOC8">
    <w:name w:val="TOC 8"/>
    <w:basedOn w:val="a"/>
    <w:next w:val="a"/>
    <w:uiPriority w:val="39"/>
    <w:unhideWhenUsed/>
    <w:rsid w:val="00D32519"/>
    <w:pPr>
      <w:spacing w:after="57"/>
      <w:ind w:left="1984"/>
    </w:pPr>
  </w:style>
  <w:style w:type="paragraph" w:customStyle="1" w:styleId="TOC9">
    <w:name w:val="TOC 9"/>
    <w:basedOn w:val="a"/>
    <w:next w:val="a"/>
    <w:uiPriority w:val="39"/>
    <w:unhideWhenUsed/>
    <w:rsid w:val="00D32519"/>
    <w:pPr>
      <w:spacing w:after="57"/>
      <w:ind w:left="2268"/>
    </w:pPr>
  </w:style>
  <w:style w:type="paragraph" w:customStyle="1" w:styleId="IndexHeading">
    <w:name w:val="Index Heading"/>
    <w:basedOn w:val="af7"/>
    <w:rsid w:val="00130906"/>
  </w:style>
  <w:style w:type="paragraph" w:styleId="afe">
    <w:name w:val="TOC Heading"/>
    <w:basedOn w:val="Heading1"/>
    <w:next w:val="a"/>
    <w:uiPriority w:val="39"/>
    <w:qFormat/>
    <w:rsid w:val="00D32519"/>
    <w:pPr>
      <w:outlineLvl w:val="9"/>
    </w:pPr>
    <w:rPr>
      <w:rFonts w:eastAsia="Times New Roman" w:cs="Times New Roman"/>
    </w:rPr>
  </w:style>
  <w:style w:type="paragraph" w:styleId="aff">
    <w:name w:val="table of figures"/>
    <w:basedOn w:val="a"/>
    <w:next w:val="a"/>
    <w:uiPriority w:val="99"/>
    <w:unhideWhenUsed/>
    <w:qFormat/>
    <w:rsid w:val="00D32519"/>
  </w:style>
  <w:style w:type="paragraph" w:styleId="a4">
    <w:name w:val="Title"/>
    <w:basedOn w:val="a"/>
    <w:next w:val="a"/>
    <w:link w:val="a3"/>
    <w:qFormat/>
    <w:rsid w:val="00D32519"/>
    <w:pPr>
      <w:keepNext/>
      <w:keepLines/>
      <w:spacing w:before="480" w:after="120"/>
    </w:pPr>
    <w:rPr>
      <w:b/>
      <w:sz w:val="72"/>
      <w:szCs w:val="72"/>
    </w:rPr>
  </w:style>
  <w:style w:type="paragraph" w:styleId="aff0">
    <w:name w:val="List Paragraph"/>
    <w:basedOn w:val="a"/>
    <w:qFormat/>
    <w:rsid w:val="00D32519"/>
    <w:pPr>
      <w:ind w:left="720"/>
    </w:pPr>
  </w:style>
  <w:style w:type="paragraph" w:styleId="aff1">
    <w:name w:val="Balloon Text"/>
    <w:basedOn w:val="a"/>
    <w:qFormat/>
    <w:rsid w:val="00D32519"/>
    <w:rPr>
      <w:rFonts w:ascii="Tahoma" w:hAnsi="Tahoma"/>
      <w:sz w:val="16"/>
      <w:szCs w:val="16"/>
    </w:rPr>
  </w:style>
  <w:style w:type="paragraph" w:customStyle="1" w:styleId="otekstj">
    <w:name w:val="otekstj"/>
    <w:basedOn w:val="a"/>
    <w:qFormat/>
    <w:rsid w:val="00D32519"/>
    <w:pPr>
      <w:spacing w:beforeAutospacing="1" w:afterAutospacing="1"/>
    </w:pPr>
    <w:rPr>
      <w:rFonts w:eastAsia="Times New Roman"/>
    </w:rPr>
  </w:style>
  <w:style w:type="paragraph" w:styleId="aff2">
    <w:name w:val="Normal (Web)"/>
    <w:basedOn w:val="a"/>
    <w:qFormat/>
    <w:rsid w:val="00D32519"/>
    <w:pPr>
      <w:spacing w:beforeAutospacing="1" w:afterAutospacing="1"/>
    </w:pPr>
    <w:rPr>
      <w:rFonts w:eastAsia="Times New Roman"/>
    </w:rPr>
  </w:style>
  <w:style w:type="paragraph" w:styleId="a6">
    <w:name w:val="Subtitle"/>
    <w:basedOn w:val="a"/>
    <w:next w:val="a"/>
    <w:link w:val="a5"/>
    <w:qFormat/>
    <w:rsid w:val="00D325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3">
    <w:name w:val="annotation text"/>
    <w:basedOn w:val="a"/>
    <w:link w:val="af2"/>
    <w:uiPriority w:val="99"/>
    <w:semiHidden/>
    <w:unhideWhenUsed/>
    <w:qFormat/>
    <w:rsid w:val="00A7162A"/>
    <w:pPr>
      <w:spacing w:line="240" w:lineRule="auto"/>
    </w:pPr>
    <w:rPr>
      <w:sz w:val="20"/>
      <w:szCs w:val="20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A7162A"/>
    <w:rPr>
      <w:b/>
      <w:bCs/>
    </w:rPr>
  </w:style>
  <w:style w:type="paragraph" w:customStyle="1" w:styleId="14">
    <w:name w:val="Обычный1"/>
    <w:qFormat/>
    <w:rsid w:val="00AE7F1D"/>
    <w:pPr>
      <w:spacing w:after="200" w:line="276" w:lineRule="auto"/>
    </w:pPr>
    <w:rPr>
      <w:rFonts w:ascii="Times New Roman" w:eastAsia="DejaVu Sans" w:hAnsi="Times New Roman" w:cs="Times New Roman"/>
      <w:sz w:val="24"/>
      <w:szCs w:val="24"/>
      <w:lang w:eastAsia="en-US"/>
    </w:rPr>
  </w:style>
  <w:style w:type="table" w:styleId="aff3">
    <w:name w:val="Table Grid"/>
    <w:basedOn w:val="a1"/>
    <w:qFormat/>
    <w:rsid w:val="00D32519"/>
    <w:pPr>
      <w:spacing w:line="1" w:lineRule="atLeast"/>
    </w:pPr>
    <w:rPr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3251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3251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3251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325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325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325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3251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3251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3251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3251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3251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3251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3251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3251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325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325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325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325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325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325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325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3251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3251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3251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3251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3251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3251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3251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3251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3251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3251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3251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3251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3251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3251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3251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3251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3251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3251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3251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3251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3251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D3251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rsid w:val="00D325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1"/>
    <w:qFormat/>
    <w:rsid w:val="00D32519"/>
    <w:pPr>
      <w:spacing w:line="1" w:lineRule="atLeast"/>
    </w:pPr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0">
    <w:name w:val="StGen0"/>
    <w:basedOn w:val="TableNormal"/>
    <w:rsid w:val="00D3251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5B46DB-2638-4D25-A39A-76ADFFCC4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1858</Words>
  <Characters>10596</Characters>
  <Application>Microsoft Office Word</Application>
  <DocSecurity>0</DocSecurity>
  <Lines>88</Lines>
  <Paragraphs>24</Paragraphs>
  <ScaleCrop>false</ScaleCrop>
  <Company/>
  <LinksUpToDate>false</LinksUpToDate>
  <CharactersWithSpaces>12430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 Овчинникова</dc:creator>
  <dc:description/>
  <cp:lastModifiedBy>1</cp:lastModifiedBy>
  <cp:revision>18</cp:revision>
  <dcterms:created xsi:type="dcterms:W3CDTF">2024-05-23T06:52:00Z</dcterms:created>
  <dcterms:modified xsi:type="dcterms:W3CDTF">2026-01-19T09:40:00Z</dcterms:modified>
  <dc:language>ru-RU</dc:language>
</cp:coreProperties>
</file>