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RPr="00457791" w:rsidTr="00465470">
        <w:tc>
          <w:tcPr>
            <w:tcW w:w="5670" w:type="dxa"/>
          </w:tcPr>
          <w:p w:rsidR="00666BDD" w:rsidRPr="00457791" w:rsidRDefault="00666BDD" w:rsidP="00465470">
            <w:pPr>
              <w:pStyle w:val="af1"/>
              <w:rPr>
                <w:rFonts w:ascii="Times New Roman" w:hAnsi="Times New Roman"/>
                <w:sz w:val="30"/>
              </w:rPr>
            </w:pPr>
            <w:r w:rsidRPr="00457791">
              <w:rPr>
                <w:rFonts w:ascii="Times New Roman" w:hAnsi="Times New Roman"/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Pr="00457791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Pr="00457791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28"/>
          <w:szCs w:val="28"/>
        </w:rPr>
      </w:sdtEndPr>
      <w:sdtContent>
        <w:p w:rsidR="00B610A2" w:rsidRPr="00457791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Pr="00457791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457791" w:rsidRDefault="00666BDD" w:rsidP="00FF13F0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901145" w:rsidRPr="00B95B16" w:rsidRDefault="00901145" w:rsidP="0090114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901145" w:rsidRDefault="00901145" w:rsidP="00901145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</w:pPr>
          <w:r w:rsidRPr="00457791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>«</w:t>
          </w:r>
          <w:r w:rsidRPr="00457791">
            <w:rPr>
              <w:rFonts w:ascii="Times New Roman" w:eastAsia="Times New Roman" w:hAnsi="Times New Roman" w:cs="Times New Roman"/>
              <w:sz w:val="40"/>
              <w:szCs w:val="40"/>
              <w:lang w:eastAsia="ru-RU"/>
            </w:rPr>
            <w:t>Лабораторный медицинский анализ</w:t>
          </w:r>
          <w:r w:rsidRPr="00457791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>»</w:t>
          </w:r>
        </w:p>
        <w:p w:rsidR="00502F9A" w:rsidRPr="00502F9A" w:rsidRDefault="00502F9A" w:rsidP="00901145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i/>
              <w:sz w:val="40"/>
              <w:szCs w:val="40"/>
              <w:lang w:eastAsia="ru-RU"/>
            </w:rPr>
          </w:pPr>
          <w:r w:rsidRPr="00502F9A">
            <w:rPr>
              <w:rFonts w:ascii="Times New Roman" w:eastAsia="Times New Roman" w:hAnsi="Times New Roman" w:cs="Times New Roman"/>
              <w:i/>
              <w:sz w:val="40"/>
              <w:szCs w:val="40"/>
              <w:lang w:eastAsia="ru-RU"/>
            </w:rPr>
            <w:t>Основная группа</w:t>
          </w:r>
        </w:p>
        <w:p w:rsidR="00502F9A" w:rsidRPr="00B95B16" w:rsidRDefault="00502F9A" w:rsidP="00502F9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457791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 xml:space="preserve">Регионального </w:t>
          </w:r>
          <w:r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 xml:space="preserve">этапа </w:t>
          </w:r>
          <w:r w:rsidRPr="00457791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>чемпионата по профессиональному мастерству</w:t>
          </w:r>
          <w:r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 xml:space="preserve"> «Профессионалы» 2026 г</w:t>
          </w:r>
        </w:p>
        <w:p w:rsidR="003C4854" w:rsidRDefault="003C4854" w:rsidP="0090114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:rsidR="00901145" w:rsidRPr="00B34D67" w:rsidRDefault="003C4854" w:rsidP="0090114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 w:rsidRPr="00B34D67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Пензенская область</w:t>
          </w:r>
        </w:p>
        <w:p w:rsidR="00901145" w:rsidRDefault="0090114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901145" w:rsidRDefault="0090114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901145" w:rsidRDefault="0090114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A85A96" w:rsidRDefault="00A85A9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A85A96" w:rsidRDefault="00A85A9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334165" w:rsidRPr="00220BE8" w:rsidRDefault="008934F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:rsidR="00FF13F0" w:rsidRPr="00457791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457791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A85A96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FF13F0" w:rsidRPr="00457791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:rsidR="009955F8" w:rsidRPr="00457791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57791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8614F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45779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 w:rsidRPr="0045779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45779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8614F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457791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8614F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E857D6" w:rsidRPr="00457791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457791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 w:rsidRPr="0045779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457791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 w:rsidRPr="0045779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457791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457791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EC1885" w:rsidRDefault="009B18A2" w:rsidP="00EC1885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1885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EC1885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EC1885" w:rsidRPr="00EC1885" w:rsidRDefault="008934F5" w:rsidP="00EC1885">
      <w:pPr>
        <w:pStyle w:val="11"/>
        <w:tabs>
          <w:tab w:val="right" w:leader="dot" w:pos="9345"/>
        </w:tabs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EC1885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EC1885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EC1885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10478322" w:history="1">
        <w:r w:rsidR="00EC1885" w:rsidRPr="00EC1885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EC1885" w:rsidRPr="00EC1885">
          <w:rPr>
            <w:rFonts w:ascii="Times New Roman" w:hAnsi="Times New Roman"/>
            <w:noProof/>
            <w:webHidden/>
            <w:sz w:val="28"/>
          </w:rPr>
          <w:tab/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C1885" w:rsidRPr="00EC1885">
          <w:rPr>
            <w:rFonts w:ascii="Times New Roman" w:hAnsi="Times New Roman"/>
            <w:noProof/>
            <w:webHidden/>
            <w:sz w:val="28"/>
          </w:rPr>
          <w:instrText xml:space="preserve"> PAGEREF _Toc210478322 \h </w:instrText>
        </w:r>
        <w:r w:rsidRPr="00EC1885">
          <w:rPr>
            <w:rFonts w:ascii="Times New Roman" w:hAnsi="Times New Roman"/>
            <w:noProof/>
            <w:webHidden/>
            <w:sz w:val="28"/>
          </w:rPr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8955C9">
          <w:rPr>
            <w:rFonts w:ascii="Times New Roman" w:hAnsi="Times New Roman"/>
            <w:noProof/>
            <w:webHidden/>
            <w:sz w:val="28"/>
          </w:rPr>
          <w:t>4</w:t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C1885" w:rsidRPr="00EC1885" w:rsidRDefault="008934F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3" w:history="1">
        <w:r w:rsidR="00EC1885" w:rsidRPr="00EC1885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EC1885"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="00EC1885" w:rsidRPr="00EC1885">
          <w:rPr>
            <w:noProof/>
            <w:webHidden/>
            <w:sz w:val="28"/>
            <w:szCs w:val="28"/>
          </w:rPr>
          <w:instrText xml:space="preserve"> PAGEREF _Toc210478323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="008955C9">
          <w:rPr>
            <w:noProof/>
            <w:webHidden/>
            <w:sz w:val="28"/>
            <w:szCs w:val="28"/>
          </w:rPr>
          <w:t>4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:rsidR="00EC1885" w:rsidRPr="00EC1885" w:rsidRDefault="008934F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4" w:history="1">
        <w:r w:rsidR="00EC1885" w:rsidRPr="00EC1885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="00EC1885"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="00EC1885" w:rsidRPr="00EC1885">
          <w:rPr>
            <w:noProof/>
            <w:webHidden/>
            <w:sz w:val="28"/>
            <w:szCs w:val="28"/>
          </w:rPr>
          <w:instrText xml:space="preserve"> PAGEREF _Toc210478324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="008955C9">
          <w:rPr>
            <w:noProof/>
            <w:webHidden/>
            <w:sz w:val="28"/>
            <w:szCs w:val="28"/>
          </w:rPr>
          <w:t>4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:rsidR="00EC1885" w:rsidRPr="00EC1885" w:rsidRDefault="008934F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5" w:history="1">
        <w:r w:rsidR="00EC1885" w:rsidRPr="00EC1885">
          <w:rPr>
            <w:rStyle w:val="ae"/>
            <w:noProof/>
            <w:sz w:val="28"/>
            <w:szCs w:val="28"/>
          </w:rPr>
          <w:t>по компетенции «Лабораторный медицинский анализ»</w:t>
        </w:r>
        <w:r w:rsidR="00EC1885"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="00EC1885" w:rsidRPr="00EC1885">
          <w:rPr>
            <w:noProof/>
            <w:webHidden/>
            <w:sz w:val="28"/>
            <w:szCs w:val="28"/>
          </w:rPr>
          <w:instrText xml:space="preserve"> PAGEREF _Toc210478325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="008955C9">
          <w:rPr>
            <w:noProof/>
            <w:webHidden/>
            <w:sz w:val="28"/>
            <w:szCs w:val="28"/>
          </w:rPr>
          <w:t>4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:rsidR="00EC1885" w:rsidRPr="00EC1885" w:rsidRDefault="008934F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6" w:history="1">
        <w:r w:rsidR="00EC1885" w:rsidRPr="00EC1885">
          <w:rPr>
            <w:rStyle w:val="ae"/>
            <w:noProof/>
            <w:sz w:val="28"/>
            <w:szCs w:val="28"/>
          </w:rPr>
          <w:t>1.3. Требования к схеме оценки</w:t>
        </w:r>
        <w:r w:rsidR="00EC1885"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="00EC1885" w:rsidRPr="00EC1885">
          <w:rPr>
            <w:noProof/>
            <w:webHidden/>
            <w:sz w:val="28"/>
            <w:szCs w:val="28"/>
          </w:rPr>
          <w:instrText xml:space="preserve"> PAGEREF _Toc210478326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="008955C9">
          <w:rPr>
            <w:noProof/>
            <w:webHidden/>
            <w:sz w:val="28"/>
            <w:szCs w:val="28"/>
          </w:rPr>
          <w:t>31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:rsidR="00EC1885" w:rsidRPr="00EC1885" w:rsidRDefault="008934F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7" w:history="1">
        <w:r w:rsidR="00EC1885" w:rsidRPr="00EC1885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EC1885"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="00EC1885" w:rsidRPr="00EC1885">
          <w:rPr>
            <w:noProof/>
            <w:webHidden/>
            <w:sz w:val="28"/>
            <w:szCs w:val="28"/>
          </w:rPr>
          <w:instrText xml:space="preserve"> PAGEREF _Toc210478327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="008955C9">
          <w:rPr>
            <w:noProof/>
            <w:webHidden/>
            <w:sz w:val="28"/>
            <w:szCs w:val="28"/>
          </w:rPr>
          <w:t>31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:rsidR="00EC1885" w:rsidRPr="00EC1885" w:rsidRDefault="008934F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8" w:history="1">
        <w:r w:rsidR="00EC1885" w:rsidRPr="00EC1885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="00EC1885"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="00EC1885" w:rsidRPr="00EC1885">
          <w:rPr>
            <w:noProof/>
            <w:webHidden/>
            <w:sz w:val="28"/>
            <w:szCs w:val="28"/>
          </w:rPr>
          <w:instrText xml:space="preserve"> PAGEREF _Toc210478328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="008955C9">
          <w:rPr>
            <w:noProof/>
            <w:webHidden/>
            <w:sz w:val="28"/>
            <w:szCs w:val="28"/>
          </w:rPr>
          <w:t>32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:rsidR="00EC1885" w:rsidRPr="00EC1885" w:rsidRDefault="008934F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9" w:history="1">
        <w:r w:rsidR="00EC1885" w:rsidRPr="00EC1885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EC1885"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="00EC1885" w:rsidRPr="00EC1885">
          <w:rPr>
            <w:noProof/>
            <w:webHidden/>
            <w:sz w:val="28"/>
            <w:szCs w:val="28"/>
          </w:rPr>
          <w:instrText xml:space="preserve"> PAGEREF _Toc210478329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="008955C9">
          <w:rPr>
            <w:noProof/>
            <w:webHidden/>
            <w:sz w:val="28"/>
            <w:szCs w:val="28"/>
          </w:rPr>
          <w:t>33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:rsidR="00EC1885" w:rsidRPr="00EC1885" w:rsidRDefault="008934F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30" w:history="1">
        <w:r w:rsidR="00EC1885" w:rsidRPr="00EC1885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EC1885"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="00EC1885" w:rsidRPr="00EC1885">
          <w:rPr>
            <w:noProof/>
            <w:webHidden/>
            <w:sz w:val="28"/>
            <w:szCs w:val="28"/>
          </w:rPr>
          <w:instrText xml:space="preserve"> PAGEREF _Toc210478330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="008955C9">
          <w:rPr>
            <w:noProof/>
            <w:webHidden/>
            <w:sz w:val="28"/>
            <w:szCs w:val="28"/>
          </w:rPr>
          <w:t>33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:rsidR="00EC1885" w:rsidRPr="00EC1885" w:rsidRDefault="008934F5" w:rsidP="00EC1885">
      <w:pPr>
        <w:pStyle w:val="11"/>
        <w:tabs>
          <w:tab w:val="right" w:leader="dot" w:pos="9345"/>
        </w:tabs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0478331" w:history="1">
        <w:r w:rsidR="00EC1885" w:rsidRPr="00EC1885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EC1885" w:rsidRPr="00EC1885">
          <w:rPr>
            <w:rFonts w:ascii="Times New Roman" w:hAnsi="Times New Roman"/>
            <w:noProof/>
            <w:webHidden/>
            <w:sz w:val="28"/>
          </w:rPr>
          <w:tab/>
        </w:r>
        <w:r w:rsidR="00B34D67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C1885" w:rsidRPr="00EC1885">
          <w:rPr>
            <w:rFonts w:ascii="Times New Roman" w:hAnsi="Times New Roman"/>
            <w:noProof/>
            <w:webHidden/>
            <w:sz w:val="28"/>
          </w:rPr>
          <w:instrText xml:space="preserve"> PAGEREF _Toc210478331 \h </w:instrText>
        </w:r>
        <w:r w:rsidRPr="00EC1885">
          <w:rPr>
            <w:rFonts w:ascii="Times New Roman" w:hAnsi="Times New Roman"/>
            <w:noProof/>
            <w:webHidden/>
            <w:sz w:val="28"/>
          </w:rPr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8955C9">
          <w:rPr>
            <w:rFonts w:ascii="Times New Roman" w:hAnsi="Times New Roman"/>
            <w:noProof/>
            <w:webHidden/>
            <w:sz w:val="28"/>
          </w:rPr>
          <w:t>40</w:t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C1885" w:rsidRPr="00EC1885" w:rsidRDefault="008934F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32" w:history="1">
        <w:r w:rsidR="00EC1885" w:rsidRPr="00EC1885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EC1885"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="00EC1885" w:rsidRPr="00EC1885">
          <w:rPr>
            <w:noProof/>
            <w:webHidden/>
            <w:sz w:val="28"/>
            <w:szCs w:val="28"/>
          </w:rPr>
          <w:instrText xml:space="preserve"> PAGEREF _Toc210478332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="008955C9">
          <w:rPr>
            <w:noProof/>
            <w:webHidden/>
            <w:sz w:val="28"/>
            <w:szCs w:val="28"/>
          </w:rPr>
          <w:t>42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:rsidR="00EC1885" w:rsidRPr="00EC1885" w:rsidRDefault="008934F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33" w:history="1">
        <w:r w:rsidR="00EC1885" w:rsidRPr="00EC1885">
          <w:rPr>
            <w:rStyle w:val="ae"/>
            <w:noProof/>
            <w:sz w:val="28"/>
            <w:szCs w:val="28"/>
          </w:rPr>
          <w:t>2.2. Материалы, оборудование и инструменты,</w:t>
        </w:r>
        <w:r w:rsidR="00EC1885"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="00EC1885" w:rsidRPr="00EC1885">
          <w:rPr>
            <w:noProof/>
            <w:webHidden/>
            <w:sz w:val="28"/>
            <w:szCs w:val="28"/>
          </w:rPr>
          <w:instrText xml:space="preserve"> PAGEREF _Toc210478333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="008955C9">
          <w:rPr>
            <w:noProof/>
            <w:webHidden/>
            <w:sz w:val="28"/>
            <w:szCs w:val="28"/>
          </w:rPr>
          <w:t>42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:rsidR="00EC1885" w:rsidRPr="00EC1885" w:rsidRDefault="008934F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34" w:history="1">
        <w:r w:rsidR="00EC1885" w:rsidRPr="00EC1885">
          <w:rPr>
            <w:rStyle w:val="ae"/>
            <w:noProof/>
            <w:sz w:val="28"/>
            <w:szCs w:val="28"/>
          </w:rPr>
          <w:t>запрещенные на площадке</w:t>
        </w:r>
        <w:r w:rsidR="00EC1885"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="00EC1885" w:rsidRPr="00EC1885">
          <w:rPr>
            <w:noProof/>
            <w:webHidden/>
            <w:sz w:val="28"/>
            <w:szCs w:val="28"/>
          </w:rPr>
          <w:instrText xml:space="preserve"> PAGEREF _Toc210478334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="008955C9">
          <w:rPr>
            <w:noProof/>
            <w:webHidden/>
            <w:sz w:val="28"/>
            <w:szCs w:val="28"/>
          </w:rPr>
          <w:t>42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:rsidR="00EC1885" w:rsidRPr="00EC1885" w:rsidRDefault="008934F5" w:rsidP="00EC1885">
      <w:pPr>
        <w:pStyle w:val="11"/>
        <w:tabs>
          <w:tab w:val="right" w:leader="dot" w:pos="9345"/>
        </w:tabs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0478335" w:history="1">
        <w:r w:rsidR="00EC1885" w:rsidRPr="00EC1885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EC1885" w:rsidRPr="00EC1885">
          <w:rPr>
            <w:rFonts w:ascii="Times New Roman" w:hAnsi="Times New Roman"/>
            <w:noProof/>
            <w:webHidden/>
            <w:sz w:val="28"/>
          </w:rPr>
          <w:tab/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C1885" w:rsidRPr="00EC1885">
          <w:rPr>
            <w:rFonts w:ascii="Times New Roman" w:hAnsi="Times New Roman"/>
            <w:noProof/>
            <w:webHidden/>
            <w:sz w:val="28"/>
          </w:rPr>
          <w:instrText xml:space="preserve"> PAGEREF _Toc210478335 \h </w:instrText>
        </w:r>
        <w:r w:rsidRPr="00EC1885">
          <w:rPr>
            <w:rFonts w:ascii="Times New Roman" w:hAnsi="Times New Roman"/>
            <w:noProof/>
            <w:webHidden/>
            <w:sz w:val="28"/>
          </w:rPr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8955C9">
          <w:rPr>
            <w:rFonts w:ascii="Times New Roman" w:hAnsi="Times New Roman"/>
            <w:noProof/>
            <w:webHidden/>
            <w:sz w:val="28"/>
          </w:rPr>
          <w:t>44</w:t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A2B8A" w:rsidRPr="00457791" w:rsidRDefault="008934F5" w:rsidP="00EC188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EC1885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1746CF" w:rsidRPr="00457791" w:rsidRDefault="001746CF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57791">
        <w:rPr>
          <w:rFonts w:ascii="Times New Roman" w:hAnsi="Times New Roman"/>
          <w:bCs/>
          <w:sz w:val="24"/>
          <w:szCs w:val="20"/>
          <w:lang w:val="ru-RU" w:eastAsia="ru-RU"/>
        </w:rPr>
        <w:br w:type="page"/>
      </w:r>
    </w:p>
    <w:p w:rsidR="00A204BB" w:rsidRPr="00457791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57791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457791" w:rsidRDefault="00D96994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457791" w:rsidRDefault="00D96994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457791" w:rsidRDefault="00D96994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D96994" w:rsidRPr="00457791" w:rsidRDefault="00D96994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1746CF" w:rsidRDefault="001746CF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ЛМА – лабораторный медицинский анализ</w:t>
      </w:r>
    </w:p>
    <w:p w:rsidR="00CF784D" w:rsidRDefault="00CF784D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БГКП – бактерии группы кишечной палочки</w:t>
      </w:r>
    </w:p>
    <w:p w:rsidR="00CF784D" w:rsidRPr="00457791" w:rsidRDefault="00CF784D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МПА – мясо-пептонный агар</w:t>
      </w:r>
    </w:p>
    <w:p w:rsidR="00C17B01" w:rsidRPr="00457791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Pr="00457791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45779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457791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210478322"/>
      <w:r w:rsidRPr="00457791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457791">
        <w:rPr>
          <w:rFonts w:ascii="Times New Roman" w:hAnsi="Times New Roman"/>
          <w:color w:val="auto"/>
          <w:sz w:val="28"/>
          <w:szCs w:val="28"/>
        </w:rPr>
        <w:t>.</w:t>
      </w:r>
      <w:r w:rsidRPr="00457791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8614F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457791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457791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210478323"/>
      <w:r w:rsidRPr="00457791">
        <w:rPr>
          <w:rFonts w:ascii="Times New Roman" w:hAnsi="Times New Roman"/>
          <w:szCs w:val="28"/>
        </w:rPr>
        <w:t>1</w:t>
      </w:r>
      <w:r w:rsidR="00DE39D8" w:rsidRPr="00457791">
        <w:rPr>
          <w:rFonts w:ascii="Times New Roman" w:hAnsi="Times New Roman"/>
          <w:szCs w:val="28"/>
        </w:rPr>
        <w:t xml:space="preserve">.1. </w:t>
      </w:r>
      <w:r w:rsidR="00AF76EA" w:rsidRPr="00457791">
        <w:rPr>
          <w:rFonts w:ascii="Times New Roman" w:hAnsi="Times New Roman"/>
          <w:szCs w:val="28"/>
        </w:rPr>
        <w:t>Общие сведения о требованиях компетенции</w:t>
      </w:r>
      <w:bookmarkEnd w:id="2"/>
    </w:p>
    <w:p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Toc78885652"/>
      <w:r w:rsidRPr="0045779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(ТК) «Лабораторный медицинский анализ»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 трудовых функций осуществляется посредством оценки выполнения практической работы. </w:t>
      </w:r>
    </w:p>
    <w:p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 заголовками, каждому разделу назначен процент относительной важности, сумма которых составляет 100.</w:t>
      </w:r>
    </w:p>
    <w:p w:rsidR="00AF76EA" w:rsidRPr="00457791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210478324"/>
      <w:r w:rsidRPr="00457791">
        <w:rPr>
          <w:rFonts w:ascii="Times New Roman" w:hAnsi="Times New Roman"/>
          <w:szCs w:val="28"/>
        </w:rPr>
        <w:t>1</w:t>
      </w:r>
      <w:r w:rsidR="00D17132" w:rsidRPr="00457791">
        <w:rPr>
          <w:rFonts w:ascii="Times New Roman" w:hAnsi="Times New Roman"/>
          <w:szCs w:val="28"/>
        </w:rPr>
        <w:t>.</w:t>
      </w:r>
      <w:bookmarkEnd w:id="3"/>
      <w:r w:rsidR="00AF76EA" w:rsidRPr="00457791">
        <w:rPr>
          <w:rFonts w:ascii="Times New Roman" w:hAnsi="Times New Roman"/>
          <w:szCs w:val="28"/>
        </w:rPr>
        <w:t>2. Перечень профессиональных задач специалиста</w:t>
      </w:r>
      <w:bookmarkEnd w:id="4"/>
    </w:p>
    <w:p w:rsidR="000244DA" w:rsidRPr="00457791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210478325"/>
      <w:r w:rsidRPr="00457791">
        <w:rPr>
          <w:rFonts w:ascii="Times New Roman" w:hAnsi="Times New Roman"/>
          <w:szCs w:val="28"/>
        </w:rPr>
        <w:t xml:space="preserve">по компетенции </w:t>
      </w:r>
      <w:r w:rsidR="00B46192" w:rsidRPr="00457791">
        <w:rPr>
          <w:rFonts w:ascii="Times New Roman" w:hAnsi="Times New Roman"/>
          <w:szCs w:val="28"/>
        </w:rPr>
        <w:t>«Лабораторный медицинский анализ</w:t>
      </w:r>
      <w:r w:rsidR="00270E01" w:rsidRPr="00457791">
        <w:rPr>
          <w:rFonts w:ascii="Times New Roman" w:hAnsi="Times New Roman"/>
          <w:szCs w:val="28"/>
        </w:rPr>
        <w:t>»</w:t>
      </w:r>
      <w:bookmarkEnd w:id="5"/>
    </w:p>
    <w:p w:rsidR="003242E1" w:rsidRPr="00457791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7791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>знаний</w:t>
      </w:r>
      <w:r w:rsidR="008614F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>и</w:t>
      </w:r>
      <w:r w:rsidR="00F10695" w:rsidRPr="00457791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457791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457791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57791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457791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457791" w:rsidRDefault="00640E46" w:rsidP="00AF76E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77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920A39" w:rsidRPr="00457791" w:rsidRDefault="00920A39" w:rsidP="00E579D6">
      <w:pPr>
        <w:pStyle w:val="aff4"/>
        <w:rPr>
          <w:b/>
          <w:i/>
          <w:sz w:val="28"/>
          <w:szCs w:val="28"/>
          <w:vertAlign w:val="subscript"/>
        </w:rPr>
      </w:pPr>
    </w:p>
    <w:tbl>
      <w:tblPr>
        <w:tblW w:w="9754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3"/>
        <w:gridCol w:w="7674"/>
        <w:gridCol w:w="1417"/>
      </w:tblGrid>
      <w:tr w:rsidR="00920A39" w:rsidRPr="00457791" w:rsidTr="00CF154C">
        <w:trPr>
          <w:tblHeader/>
        </w:trPr>
        <w:tc>
          <w:tcPr>
            <w:tcW w:w="663" w:type="dxa"/>
            <w:shd w:val="clear" w:color="auto" w:fill="92D050"/>
            <w:vAlign w:val="center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74" w:type="dxa"/>
            <w:shd w:val="clear" w:color="auto" w:fill="92D050"/>
            <w:vAlign w:val="center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920A39" w:rsidRPr="00457791" w:rsidTr="00CF154C">
        <w:tc>
          <w:tcPr>
            <w:tcW w:w="663" w:type="dxa"/>
            <w:vMerge w:val="restart"/>
            <w:shd w:val="clear" w:color="auto" w:fill="BFBFBF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4" w:type="dxa"/>
            <w:vAlign w:val="center"/>
          </w:tcPr>
          <w:p w:rsidR="00920A39" w:rsidRPr="00457791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организационно-технических и базовых процедур при выполнении различных видов лабораторных исследований</w:t>
            </w:r>
          </w:p>
        </w:tc>
        <w:tc>
          <w:tcPr>
            <w:tcW w:w="1417" w:type="dxa"/>
            <w:vMerge w:val="restart"/>
            <w:vAlign w:val="center"/>
          </w:tcPr>
          <w:p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 w:rsidR="00BF50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920A39" w:rsidRPr="00457791" w:rsidRDefault="00920A39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920A39" w:rsidRPr="007840E8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Правила взятия, регистрации, транспортировки и хранения биологического материала; 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Критерии отбраковки биологического материала; </w:t>
            </w:r>
          </w:p>
          <w:p w:rsidR="005D7FEA" w:rsidRDefault="005D7FEA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F0017" w:rsidRDefault="006F0017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6F0017" w:rsidRDefault="006F0017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6F0017" w:rsidRDefault="006F0017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</w:p>
          <w:p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 w:rsid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F0017" w:rsidRDefault="006F0017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6F0017" w:rsidRDefault="006F0017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6F0017" w:rsidRPr="006F0017" w:rsidRDefault="006F0017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 w:rsid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 w:rsidR="0047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F0017" w:rsidRDefault="006F0017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472599" w:rsidRDefault="00472599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472599" w:rsidRDefault="00472599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472599" w:rsidRDefault="00472599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472599" w:rsidRPr="00472599" w:rsidRDefault="00472599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</w:t>
            </w:r>
            <w:r w:rsidR="008614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контроля и внешней оценки качества лабораторных исследований</w:t>
            </w:r>
            <w:r w:rsid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F0017" w:rsidRPr="00457791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Функциональные обязанности </w:t>
            </w:r>
            <w:r w:rsidR="00FC7520" w:rsidRPr="00FC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сведениями, составляющими врачебную тай</w:t>
            </w:r>
            <w:r w:rsidR="006A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ну.</w:t>
            </w:r>
          </w:p>
          <w:p w:rsidR="0061643B" w:rsidRPr="00457791" w:rsidRDefault="0061643B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920A39" w:rsidRPr="00457791" w:rsidRDefault="00920A39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методику взятия капиллярной крови;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Осуществлятьпервичную обработку биологического материала, поступившего в лабораторию:</w:t>
            </w:r>
          </w:p>
          <w:p w:rsidR="00920A39" w:rsidRPr="00457791" w:rsidRDefault="00920A39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</w:t>
            </w:r>
            <w:r w:rsidR="001C5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объектов окружающей среды;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 w:rsid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20A39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40E8" w:rsidRDefault="007840E8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:rsidR="007840E8" w:rsidRDefault="007840E8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840E8" w:rsidRDefault="0085550E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Выполнять лабораторные исследования биологического материала второй категории сложности самостоятельно и отдельные этапы </w:t>
            </w: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коагулологические;</w:t>
            </w:r>
          </w:p>
          <w:p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:rsidR="0085550E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7840E8" w:rsidRDefault="007840E8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085" w:rsidRPr="00457791" w:rsidRDefault="00DA108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коагулологические;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:rsidR="00DA1085" w:rsidRDefault="00DA108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417C" w:rsidRDefault="000F417C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F417C" w:rsidRPr="000F417C" w:rsidRDefault="000F417C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:rsidR="000F417C" w:rsidRPr="000F417C" w:rsidRDefault="000F417C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:rsidR="000F417C" w:rsidRDefault="000F417C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417C" w:rsidRDefault="000F417C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F417C" w:rsidRDefault="000F417C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F417C" w:rsidRDefault="000F417C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F417C" w:rsidRDefault="000F417C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F417C" w:rsidRPr="000F417C" w:rsidRDefault="000F417C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наавтоматических анализаторах</w:t>
            </w:r>
            <w:r w:rsidR="001B66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F417C" w:rsidRPr="00457791" w:rsidRDefault="000F417C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Составлять план работы и отчет о своей работе;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:rsidR="00920A39" w:rsidRPr="00457791" w:rsidRDefault="001B6674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20A39"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:rsidR="00920A39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6674" w:rsidRDefault="001B6674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0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(дополнение)</w:t>
            </w:r>
          </w:p>
          <w:p w:rsidR="001B6674" w:rsidRPr="0090662E" w:rsidRDefault="0090662E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:rsidR="0090662E" w:rsidRPr="0090662E" w:rsidRDefault="0090662E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и средним медицинским персоналом;</w:t>
            </w:r>
          </w:p>
          <w:p w:rsidR="001B6674" w:rsidRPr="0090662E" w:rsidRDefault="0090662E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</w:t>
            </w:r>
            <w:r w:rsidR="001D0C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оказанием медицинской помощи</w:t>
            </w:r>
          </w:p>
          <w:p w:rsidR="00920A39" w:rsidRPr="00457791" w:rsidRDefault="00920A39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 w:val="restart"/>
            <w:shd w:val="clear" w:color="auto" w:fill="BFBFBF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674" w:type="dxa"/>
            <w:vAlign w:val="center"/>
          </w:tcPr>
          <w:p w:rsidR="00920A39" w:rsidRPr="00457791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клинических лабораторных исследований первой и второй категории</w:t>
            </w:r>
          </w:p>
        </w:tc>
        <w:tc>
          <w:tcPr>
            <w:tcW w:w="1417" w:type="dxa"/>
            <w:vMerge w:val="restart"/>
            <w:vAlign w:val="center"/>
          </w:tcPr>
          <w:p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32,10</w:t>
            </w: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:rsidR="00774BBE" w:rsidRPr="00457791" w:rsidRDefault="00774BBE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774BBE" w:rsidRPr="007840E8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отбра</w:t>
            </w:r>
            <w:r w:rsidR="001C5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ковки биологического материала.</w:t>
            </w:r>
          </w:p>
          <w:p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  <w:r w:rsidR="001C5A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Нормативные правовые акты Российской Федерации в сфере здравоохранения, общие вопросы организации лабораторной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службы, правила проведения лабораторных исследований;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Pr="006F0017" w:rsidRDefault="00774BBE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Pr="00472599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внутрилабораторногоконтроля и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обязанности находящегося в распоряжении младшего медицинского персонала лаборатории;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сведениями, составляющими врачебную тайну;</w:t>
            </w:r>
          </w:p>
          <w:p w:rsidR="001C5AA7" w:rsidRDefault="001C5AA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А/04.05)</w:t>
            </w:r>
          </w:p>
          <w:p w:rsidR="00774BBE" w:rsidRPr="0090662E" w:rsidRDefault="00774BBE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hAnsi="Times New Roman"/>
                <w:sz w:val="24"/>
                <w:szCs w:val="24"/>
              </w:rPr>
              <w:t>Функциональные обязанности 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методику взятия капиллярной крови;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Осуществлятьпервичную обработку биологического материала, поступившего в лабораторию:</w:t>
            </w:r>
          </w:p>
          <w:p w:rsidR="00A16EBB" w:rsidRPr="00457791" w:rsidRDefault="00A16EBB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:rsidR="00A16EBB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лабораторные исследования биологического материала 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коагулологические;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:rsidR="00A16EBB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коагулологические;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:rsidR="001C5AA7" w:rsidRDefault="001C5AA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сроки использования и условия хранения реагентов и расходных материалов в регламентированных режимах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списание реагентов в соответствии с их расходованием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наавтоматических анализаторах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(дополнение)</w:t>
            </w:r>
          </w:p>
          <w:p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</w:t>
            </w:r>
            <w:r w:rsidR="006A4A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оказанием медицинской помощи.</w:t>
            </w:r>
          </w:p>
          <w:p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 w:val="restart"/>
            <w:shd w:val="clear" w:color="auto" w:fill="BFBFBF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674" w:type="dxa"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Выполнение микробиологических лабораторных исследований</w:t>
            </w:r>
            <w:r w:rsidR="00861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первой и второй категории</w:t>
            </w:r>
          </w:p>
        </w:tc>
        <w:tc>
          <w:tcPr>
            <w:tcW w:w="1417" w:type="dxa"/>
            <w:vMerge w:val="restart"/>
            <w:vAlign w:val="center"/>
          </w:tcPr>
          <w:p w:rsidR="00920A39" w:rsidRPr="00457791" w:rsidRDefault="00230427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5A0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F50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75A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A16EBB" w:rsidRPr="007840E8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отбра</w:t>
            </w:r>
            <w:r w:rsidR="001C5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ковки биологического материала.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  <w:r w:rsidR="001C5A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Pr="006F0017" w:rsidRDefault="00A16EBB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реагентов и расходных материалов, их учета и списания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Pr="00472599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внутрилабораторногоконтроля и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обязанности находящегося в распоряжении младшего медицинского персонала лаборатории;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</w:t>
            </w:r>
            <w:r w:rsidR="00A85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составляющими врачебную тайну.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1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А/04.05)</w:t>
            </w:r>
          </w:p>
          <w:p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hAnsi="Times New Roman"/>
                <w:sz w:val="24"/>
                <w:szCs w:val="24"/>
              </w:rPr>
              <w:t>Функциональные обязанности 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="008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первичную обработку биологического материала, поступившего в лабораторию:</w:t>
            </w:r>
          </w:p>
          <w:p w:rsidR="00A16EBB" w:rsidRPr="00457791" w:rsidRDefault="00A16EBB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маркировку и регистрацию проб биологического материала,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A16EBB" w:rsidRPr="0085550E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B206CB" w:rsidRPr="00B206CB" w:rsidRDefault="00B206CB" w:rsidP="00CF154C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62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6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наавтоматических анализаторах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(дополнение)</w:t>
            </w:r>
          </w:p>
          <w:p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и средним медицинским персоналом;</w:t>
            </w:r>
          </w:p>
          <w:p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</w:t>
            </w:r>
            <w:r w:rsidR="00A85C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оказанием медицинской помощи.</w:t>
            </w:r>
          </w:p>
          <w:p w:rsidR="00920A39" w:rsidRPr="00457791" w:rsidRDefault="00920A39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 w:val="restart"/>
            <w:shd w:val="clear" w:color="auto" w:fill="BFBFBF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674" w:type="dxa"/>
            <w:vAlign w:val="center"/>
          </w:tcPr>
          <w:p w:rsidR="00920A39" w:rsidRPr="00457791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</w:t>
            </w:r>
            <w:r w:rsidR="008614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морфологических лабораторных исследований первой и второй категории</w:t>
            </w:r>
          </w:p>
        </w:tc>
        <w:tc>
          <w:tcPr>
            <w:tcW w:w="1417" w:type="dxa"/>
            <w:vMerge w:val="restart"/>
            <w:vAlign w:val="center"/>
          </w:tcPr>
          <w:p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50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F5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:rsidR="00877F5D" w:rsidRPr="00457791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877F5D" w:rsidRPr="007840E8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отбра</w:t>
            </w:r>
            <w:r w:rsidR="00A85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ковки биологического материала.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Нормативные правовые акты Российской Федерации в сфере </w:t>
            </w: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  <w:r w:rsidR="00A85C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Pr="006F001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Pr="00472599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</w:t>
            </w:r>
            <w:r w:rsidR="008614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контроля и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Нормативные правовые акты Российской Федерации в сфере здравоохранения, общие вопросы организации лабораторной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службы, правила проведения лабораторных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обязанности находящегося в распоряжении младшего медицинского персонала лаборатории;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:rsidR="00E74081" w:rsidRPr="00E74081" w:rsidRDefault="00877F5D" w:rsidP="00CF154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337" w:hanging="33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4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</w:t>
            </w:r>
            <w:r w:rsidR="00E74081" w:rsidRPr="00E74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составляющими врачебную тайну;</w:t>
            </w:r>
          </w:p>
          <w:p w:rsidR="00B206CB" w:rsidRDefault="00B206C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А/04.05)</w:t>
            </w:r>
          </w:p>
          <w:p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hAnsi="Times New Roman"/>
                <w:sz w:val="24"/>
                <w:szCs w:val="24"/>
              </w:rPr>
              <w:t>Функциональные обязанности 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20A39" w:rsidRPr="00457791" w:rsidRDefault="00920A39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</w:tcPr>
          <w:p w:rsidR="00877F5D" w:rsidRPr="00081B37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первичную обработку биологического материала, поступившего в лабораторию:</w:t>
            </w:r>
          </w:p>
          <w:p w:rsidR="00877F5D" w:rsidRPr="00081B37" w:rsidRDefault="00877F5D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В/01.6 (дополнение к А/01.5)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цитологические;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:rsidR="00B206CB" w:rsidRPr="00081B37" w:rsidRDefault="00B206C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B206CB" w:rsidRPr="00081B37" w:rsidRDefault="00B206C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:rsidR="00B206CB" w:rsidRPr="00081B37" w:rsidRDefault="00B206C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цитологические;</w:t>
            </w:r>
          </w:p>
          <w:p w:rsidR="00B206CB" w:rsidRPr="00B206CB" w:rsidRDefault="00B206C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:rsidR="00B206CB" w:rsidRPr="00081B37" w:rsidRDefault="00B206C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В/02.6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</w:t>
            </w:r>
            <w:r w:rsidR="00E74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ческой лабораторной диагностики.</w:t>
            </w:r>
          </w:p>
          <w:p w:rsidR="00E74081" w:rsidRDefault="00E74081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В/03.6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 автоматических анализаторах.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медицинским персоналом;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Профстандарт: 02.071 код В/04.6 (дополнение)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и средним медицинским персоналом;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</w:t>
            </w:r>
            <w:r w:rsidR="00E74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оказанием медицинской помощи.</w:t>
            </w:r>
          </w:p>
          <w:p w:rsidR="00920A39" w:rsidRPr="00081B37" w:rsidRDefault="00920A39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 w:val="restart"/>
            <w:shd w:val="clear" w:color="auto" w:fill="BFBFBF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674" w:type="dxa"/>
          </w:tcPr>
          <w:p w:rsidR="00920A39" w:rsidRPr="00081B37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санитарно-эпидемиологических исследований</w:t>
            </w:r>
          </w:p>
        </w:tc>
        <w:tc>
          <w:tcPr>
            <w:tcW w:w="1417" w:type="dxa"/>
            <w:vMerge w:val="restart"/>
            <w:vAlign w:val="center"/>
          </w:tcPr>
          <w:p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  <w:r w:rsidR="00BF50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:rsidR="00877F5D" w:rsidRPr="00081B37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отбра</w:t>
            </w:r>
            <w:r w:rsidR="00E7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ковки биологического материала.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В/01.6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к обеспечению качества и безопасности лабораторных исследований на основе национальных стандартов и нормативных правовых актов.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2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организации деятельности лаборатории, этапы лабораторных исследований, задачи персонала;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аналитического этапа лабораторных исследований первой и второй категории сложности в соответствии с видами </w:t>
            </w: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исследований;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В/02.6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рофстандарт: 02.071 код В/03.6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 контроля и внешней оценки качества лабораторных исследований.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обязанности находящегося в распоряжении младшего медицинского персонала лаборатории;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сведениями, составляющими врачебную тайну;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1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В/04.6 (дополнение к А/04.05)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hAnsi="Times New Roman"/>
                <w:sz w:val="24"/>
                <w:szCs w:val="24"/>
              </w:rPr>
              <w:t>Функциональные обязанности 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инфекций.</w:t>
            </w:r>
          </w:p>
          <w:p w:rsidR="00920A39" w:rsidRPr="00081B37" w:rsidRDefault="00920A39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</w:tcPr>
          <w:p w:rsidR="00877F5D" w:rsidRPr="00457791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Осуществлятьпервичную обработку биологического материала, поступившего в лабораторию:</w:t>
            </w:r>
          </w:p>
          <w:p w:rsidR="00877F5D" w:rsidRPr="00457791" w:rsidRDefault="00877F5D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:rsidR="00877F5D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877F5D" w:rsidRPr="0085550E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:rsidR="00877F5D" w:rsidRPr="001C40EA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1C40EA" w:rsidRPr="0085550E" w:rsidRDefault="001C40EA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:rsidR="001C40EA" w:rsidRPr="00457791" w:rsidRDefault="001C40EA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82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Проводить анализ результатов лабораторных исследований по полученным описательным, полуколичественным и количественным </w:t>
            </w: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данным, сопоставлять результаты с референтными значениями;</w:t>
            </w:r>
          </w:p>
          <w:p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наавтоматических анализаторах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(дополнение)</w:t>
            </w:r>
          </w:p>
          <w:p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и средним медицинским персоналом;</w:t>
            </w:r>
          </w:p>
          <w:p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 с оказанием медицинской помощи;</w:t>
            </w:r>
          </w:p>
          <w:p w:rsidR="00920A39" w:rsidRPr="00457791" w:rsidRDefault="00920A39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 w:val="restart"/>
            <w:shd w:val="clear" w:color="auto" w:fill="BFBFBF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674" w:type="dxa"/>
          </w:tcPr>
          <w:p w:rsidR="00920A39" w:rsidRPr="00457791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лабораторных и инструментальных исследований при судебно-медицинских экспертиз (исследований)</w:t>
            </w:r>
          </w:p>
        </w:tc>
        <w:tc>
          <w:tcPr>
            <w:tcW w:w="1417" w:type="dxa"/>
            <w:vMerge w:val="restart"/>
            <w:vAlign w:val="center"/>
          </w:tcPr>
          <w:p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  <w:r w:rsidR="00BF50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:rsidR="00877F5D" w:rsidRPr="00457791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877F5D" w:rsidRPr="007840E8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подготовки образцов биологических материалов к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исследованию, транспортировке или хранению;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Критерии отбраковки биологического материала; 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</w:p>
          <w:p w:rsidR="00877F5D" w:rsidRPr="006F001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к обеспечению качества и безопасности лабораторных исследований на основе национальных стандартов и нормативных правовых актов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81B37" w:rsidRDefault="00081B3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81B37" w:rsidRDefault="00081B3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A/01.5</w:t>
            </w:r>
          </w:p>
          <w:p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нормальной и патологической анатомии и физиологии человека, основы судебной медицины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Общие вопросы организации работы подразделений бюро судебно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медицинской экспертизы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судебно-медицинской экспертизе трупа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проведения судебно-медицинского исследования трупа и его особенности при различных видах смерти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проведения специальных диагностических проб при производстве судебно-медицинских экспертиз (исследований) трупа и его частей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взятия объектов биологического происхождения от трупа и его частей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и методы преаналитической подготовки вещественных доказательств, объектов биологического и иного происхождения в зависимости от вида судебно-медицинской экспертизы (исследования)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и транспортировки вещественных доказательств и объектов биологического и иного происхождения различного типа, температурные и временные режимы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81B37" w:rsidRDefault="00081B3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2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организации деятельности лаборатории, этапы лабораторных исследований, задачи персонала;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аналитического этапа лабораторных исследований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первой и второй категории сложности в соответствии с видами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Pr="006F001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081B37" w:rsidRPr="00457791" w:rsidRDefault="00081B3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 A/0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Методики и </w:t>
            </w:r>
            <w:r w:rsidR="002834FF"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забора и направления вещественных доказательств,</w:t>
            </w: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объектов биологического и иного происхождения от трупа и его частей для проведения лабораторных и инструментальных исследований в зависимости от вида судебно-медицинской экспертизы (исследования);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проведения лабораторных и инструментальных исследований при производстве судебно-медицинских гистологических экспертиз (исследований);</w:t>
            </w:r>
          </w:p>
          <w:p w:rsidR="00081B37" w:rsidRP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производству судебно-медицинских гистологических экспертиз (исследований);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фиксации гистологического материала;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 приготовления гистологических препаратов;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виды проводок биологического материала;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Методы заливки гистологического материала;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 работы на микротоме;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 приготовления и окраски гистологических препаратов, виды и группы красителей;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проведения лабораторных и инструментальных исследований при производстве судебно-медицинских медико-криминалистических экспертиз (исследований);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производству судебно-медицинских медико-криминалистических (исследований);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Виды экспертиз, методы исследования и технические приемы, применяемые при производстве судебно-медицинских медико-криминалистических экспертиз (исследований);</w:t>
            </w:r>
          </w:p>
          <w:p w:rsidR="00081B37" w:rsidRP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Способы, приемы и методы подготовки вещественных доказательств и объектов биологического и иного происхождения для производства судебно-медицинских медико-криминалистических экспертиз (исследований);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исследовательской фотографии;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методы спектрального анализа;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Методики проведения лабораторных и инструментальных </w:t>
            </w: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исследований при производстве судебно-медицинских биологических и молекулярно-генетических экспертиз (исследований);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Инструкции по производству судебно-медицинских биологических и молекулярно-генетических экспертиз (исследований);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Общие сведения о группах крови;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забора крови;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Методы исследования следов крови;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определения титра и специфичности преципитирующих сывороток;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проведения молекулярно-генетического исследования;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этапы выделения ДНК из образцов сухой и жидкой крови;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проведения лабораторных и инструментальных исследований при производстве судебно-медицинских биохимических экспертиз (исследований);</w:t>
            </w:r>
          </w:p>
          <w:p w:rsidR="00081B37" w:rsidRP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производству судебно-медицинских биохимическихэкспертиз (исследований);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Порядок отбора проб для проведения различных видов биохимических исследований;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Методы ручных исследований;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Свойства химических реактивов, расчетные формулы, используемые при приготовлении рабочих реактивов для ручных методов;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работы на спектрофотометре, фотоэлектроколориметре, центрифугах;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проведения лабораторных и инструментальных исследований при производстве судебно-медицинских химических и химико-токсикологических экспертиз (исследований);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производству судебно-медицинских химических экспертиз (исследований)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производству судебно-медицинских химико-токсикологических экспертиз (исследований);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токсикологии;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Классификация ядов и сильнодействующих веществ;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Свойства химических реактивов, расчетные формулы, используемые при приготовлении растворов;</w:t>
            </w:r>
          </w:p>
          <w:p w:rsidR="00081B37" w:rsidRP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подготовки проб биологического происхождения от трупов, живых лиц и вещественных доказательств небиологического происхождения;</w:t>
            </w:r>
          </w:p>
          <w:p w:rsidR="00081B37" w:rsidRP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Порядок проведения газожидкостной хроматографии, хроматографии в тонких слоях сорбента объектов судебно-медицинской экспертизы и обработки результатов анализа;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внутрилабораторного контроля качества в зависимости от вида лабораторного исследования;</w:t>
            </w:r>
          </w:p>
          <w:p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Преаналитический, аналитический и постнаналитический этапы лабораторных и инструментальных исследований в зависимости от вида судебно-медицинской экспертизы (исследования);</w:t>
            </w:r>
          </w:p>
          <w:p w:rsid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и сроки хранения биологического материала на постаналитическом этапе в зависимости от вида судебно-медицинской экспертизы (исследования);</w:t>
            </w:r>
          </w:p>
          <w:p w:rsidR="00081B37" w:rsidRP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Правила эксплуатации лабораторной аппаратуры и инструментария</w:t>
            </w:r>
            <w:r w:rsid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81B37" w:rsidRDefault="00081B3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Pr="00472599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внутрилабораторногоконтроля и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7520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  <w:r w:rsidR="00FC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В</w:t>
            </w:r>
            <w:r w:rsidR="00FC7520"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 w:rsidR="00FC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Pr="00457791" w:rsidRDefault="00FC7520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 A/0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Функциональные обязанности </w:t>
            </w:r>
            <w:r w:rsidR="00FC7520" w:rsidRPr="0090662E">
              <w:rPr>
                <w:rFonts w:ascii="Times New Roman" w:hAnsi="Times New Roman" w:cs="Times New Roman"/>
                <w:sz w:val="24"/>
                <w:szCs w:val="24"/>
              </w:rPr>
              <w:t>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сведениями, составляющими врачебную тайну;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Pr="00457791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877F5D" w:rsidRPr="00457791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</w:t>
            </w:r>
            <w:r w:rsidR="00611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 A/01.5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методику взятия капиллярной крови;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Осуществлятьпервичную обработку биологического материала, поступившего в лабораторию:</w:t>
            </w:r>
          </w:p>
          <w:p w:rsidR="00877F5D" w:rsidRPr="00457791" w:rsidRDefault="00877F5D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санитарно-бактериологическое обследование объектов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окружающей среды.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Подготавливать рабочее место и лабораторное оборудование для проведения исследований в соответствии со стандартными операционными процедурами;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:rsidR="00877F5D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877F5D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цитологические;</w:t>
            </w:r>
          </w:p>
          <w:p w:rsidR="00877F5D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молекулярно-биологические;</w:t>
            </w:r>
          </w:p>
          <w:p w:rsidR="00877F5D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генетические;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1B37" w:rsidRDefault="00081B3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</w:t>
            </w:r>
            <w:r w:rsidR="001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 w:rsidR="005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567CC6" w:rsidRPr="001C40EA" w:rsidRDefault="00567CC6" w:rsidP="00CF154C">
            <w:pPr>
              <w:pStyle w:val="aff1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40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стандартные операционные процедуры секционных и инструментальных исследований при производстве судебно-медицинских экспертиз (исследований) трупа и его частей;</w:t>
            </w:r>
          </w:p>
          <w:p w:rsidR="00567CC6" w:rsidRPr="001C40EA" w:rsidRDefault="00567CC6" w:rsidP="00CF154C">
            <w:pPr>
              <w:pStyle w:val="aff1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40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Регистрировать, хранить и транспортировать вещественные доказательства и объекты биологического и иного происхождения, поступившие для лабораторных и инструментальных исследований, в зависимости от вида судебно-медицинской экспертизы (исследования) в журнале и (или) в информационной системе;</w:t>
            </w:r>
          </w:p>
          <w:p w:rsidR="00081B37" w:rsidRPr="001C40EA" w:rsidRDefault="00567CC6" w:rsidP="00CF154C">
            <w:pPr>
              <w:pStyle w:val="aff1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40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Маркировать поступившие на лабораторное и инструментальное исследование объекты в соответствии с видом судебно-медицинской экспертизы (исследования).</w:t>
            </w:r>
          </w:p>
          <w:p w:rsidR="00567CC6" w:rsidRDefault="00567CC6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:rsidR="00CF154C" w:rsidRPr="00457791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CF154C" w:rsidRPr="00457791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:rsidR="00CF154C" w:rsidRPr="00457791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CF154C" w:rsidRPr="00457791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:rsidR="00CF154C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CF154C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цитологические;</w:t>
            </w:r>
          </w:p>
          <w:p w:rsidR="00CF154C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молекулярно-биологические;</w:t>
            </w:r>
          </w:p>
          <w:p w:rsidR="00CF154C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генетические;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хранение биологических образцов и результатов исследования</w:t>
            </w:r>
            <w:r w:rsidR="00640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7CC6" w:rsidRDefault="00567CC6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</w:t>
            </w:r>
            <w:r w:rsidR="00166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Маркировать вещественные доказательства и объекты биологического и иного происхождения, поступившие для проведения лабораторных и инструментальных исследований, в зависимости от вида судебно-медицинской экспертизы (исследования);</w:t>
            </w:r>
          </w:p>
          <w:p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стандартные операционные процедуры лабораторных и инструментальных исследований при производстве судебно-медицинских гистологических экспертиз (исследований);</w:t>
            </w:r>
          </w:p>
          <w:p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стандартные операционные процедуры лабораторных и инструментальных исследований при производстве судебно-медицинских медико-криминалистических экспертиз (исследований);</w:t>
            </w:r>
          </w:p>
          <w:p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стандартные операционные процедуры лабораторных и инструментальных исследований при производстве судебно-медицинских биологических и молекулярно-генетических экспертиз (исследований);</w:t>
            </w:r>
          </w:p>
          <w:p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стандартные операционные процедуры лабораторных и инструментальных исследований при производстве судебно-медицинских биохимических экспертиз (исследований);</w:t>
            </w:r>
          </w:p>
          <w:p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стандартные операционные процедуры лабораторных и инструментальных исследований при производстве судебно-медицинских химических и химико-токсикологических экспертиз (исследований);</w:t>
            </w:r>
          </w:p>
          <w:p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Обеспечивать качество лабораторных и инструментальных исследований на аналитическом этапе;</w:t>
            </w:r>
          </w:p>
          <w:p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Вести журналы лабораторных исследований и контроля качества.</w:t>
            </w:r>
          </w:p>
          <w:p w:rsidR="00567CC6" w:rsidRDefault="00567CC6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Соблюдать требования преаналитического этапа лабораторных </w:t>
            </w: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наавтоматических анализаторах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:rsidR="00877F5D" w:rsidRPr="001B6674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Вести учет расходования реагентов и материалов при проведении лабораторных исследований первой и второй категории сложности; 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(дополнение)</w:t>
            </w:r>
          </w:p>
          <w:p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 с оказанием медицинской помощи;</w:t>
            </w:r>
          </w:p>
          <w:p w:rsidR="00920A39" w:rsidRPr="00457791" w:rsidRDefault="00920A39" w:rsidP="00B464E7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793" w:rsidRPr="00457791" w:rsidTr="00CF154C">
        <w:tc>
          <w:tcPr>
            <w:tcW w:w="663" w:type="dxa"/>
            <w:vMerge w:val="restart"/>
            <w:shd w:val="clear" w:color="auto" w:fill="BFBFBF"/>
          </w:tcPr>
          <w:p w:rsidR="001A2793" w:rsidRPr="00C75A06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674" w:type="dxa"/>
            <w:vAlign w:val="center"/>
          </w:tcPr>
          <w:p w:rsidR="001A2793" w:rsidRPr="00C75A06" w:rsidRDefault="00C75A06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417" w:type="dxa"/>
            <w:vMerge w:val="restart"/>
            <w:vAlign w:val="center"/>
          </w:tcPr>
          <w:p w:rsidR="001A2793" w:rsidRPr="00457791" w:rsidRDefault="00C75A06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F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793" w:rsidRPr="00457791" w:rsidTr="00CF154C">
        <w:tc>
          <w:tcPr>
            <w:tcW w:w="663" w:type="dxa"/>
            <w:vMerge/>
            <w:shd w:val="clear" w:color="auto" w:fill="BFBFBF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C75A06" w:rsidRPr="00457791" w:rsidRDefault="00C75A06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75A06" w:rsidRDefault="00C75A06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  <w:r w:rsidR="006C2B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код В/01.06</w:t>
            </w:r>
          </w:p>
          <w:p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A/01.5</w:t>
            </w:r>
          </w:p>
          <w:p w:rsidR="006C2B95" w:rsidRPr="00B30234" w:rsidRDefault="006C2B95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2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организации деятельности лаборатории, этапы лабораторных исследований, задачи персонала;</w:t>
            </w:r>
          </w:p>
          <w:p w:rsidR="00B464E7" w:rsidRPr="008614FC" w:rsidRDefault="006C2B95" w:rsidP="008614F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0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учета и контроля расходных материалов в соответствии с технологиями и методиками;</w:t>
            </w:r>
          </w:p>
          <w:p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реагентов и расходных материалов, их учета и списания;</w:t>
            </w:r>
          </w:p>
          <w:p w:rsidR="006C2B95" w:rsidRPr="00B30234" w:rsidRDefault="000B47A0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учета расходных материалов и реагентов, требования к </w:t>
            </w:r>
            <w:r w:rsidR="005D7FEA"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качеству поступающих расходных </w:t>
            </w: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 и реагентов</w:t>
            </w:r>
            <w:r w:rsidR="00FC50C5"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2793" w:rsidRPr="00457791" w:rsidRDefault="00FC50C5" w:rsidP="00CF154C">
            <w:pPr>
              <w:pStyle w:val="aff1"/>
              <w:numPr>
                <w:ilvl w:val="0"/>
                <w:numId w:val="15"/>
              </w:numPr>
              <w:spacing w:after="0" w:line="240" w:lineRule="auto"/>
              <w:ind w:left="337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02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Правила хранения реагентов и расходных материалов, их учета и списания;</w:t>
            </w:r>
          </w:p>
        </w:tc>
        <w:tc>
          <w:tcPr>
            <w:tcW w:w="1417" w:type="dxa"/>
            <w:vMerge/>
            <w:vAlign w:val="center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793" w:rsidRPr="00457791" w:rsidTr="00CF154C">
        <w:tc>
          <w:tcPr>
            <w:tcW w:w="663" w:type="dxa"/>
            <w:vMerge/>
            <w:shd w:val="clear" w:color="auto" w:fill="BFBFBF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6C2B95" w:rsidRPr="00457791" w:rsidRDefault="006C2B95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код В/01.06</w:t>
            </w:r>
          </w:p>
          <w:p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A/01.5</w:t>
            </w:r>
          </w:p>
          <w:p w:rsidR="005D7FEA" w:rsidRPr="00B30234" w:rsidRDefault="005D7FEA" w:rsidP="00CF154C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Подготавливать рабочее место и лабораторное оборудование для проведения исследований в соответствии со стандартными операционными процедурами;</w:t>
            </w:r>
          </w:p>
          <w:p w:rsidR="00B464E7" w:rsidRPr="00B464E7" w:rsidRDefault="00B464E7" w:rsidP="00B464E7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4" w:hanging="3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Подготавливать рабочее место, инструментарий, лабораторную </w:t>
            </w:r>
            <w:r w:rsidRPr="00B46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посуду, оборудование для проведения специальных диагностических проб, забора объектов биологического происхождения от трупа и его частей для лабораторных и инструментальных исследований в зависимости от вида судебно-медицинской экспертизы (исследования);</w:t>
            </w:r>
          </w:p>
          <w:p w:rsidR="005D7FEA" w:rsidRPr="00B30234" w:rsidRDefault="005D7FEA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хранение биологических образцов и результатов исследования</w:t>
            </w:r>
          </w:p>
          <w:p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сроки использования и условия хранения реагентов и расходных материалов в регламентированных режимах;</w:t>
            </w:r>
          </w:p>
          <w:p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списание реагентов в соответствии с их расходованием;</w:t>
            </w:r>
          </w:p>
          <w:p w:rsidR="001A2793" w:rsidRPr="0046699A" w:rsidRDefault="000B47A0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Вести учет расходования реагентов и материалов при проведении лабораторных исследований первой и второй категории сложности</w:t>
            </w:r>
            <w:r w:rsid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793" w:rsidRPr="00457791" w:rsidTr="00CF154C">
        <w:tc>
          <w:tcPr>
            <w:tcW w:w="663" w:type="dxa"/>
            <w:vMerge w:val="restart"/>
            <w:shd w:val="clear" w:color="auto" w:fill="BFBFBF"/>
          </w:tcPr>
          <w:p w:rsidR="001A2793" w:rsidRPr="00C75A06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674" w:type="dxa"/>
            <w:vAlign w:val="center"/>
          </w:tcPr>
          <w:p w:rsidR="001A2793" w:rsidRPr="00C75A06" w:rsidRDefault="00C75A06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1417" w:type="dxa"/>
            <w:vMerge w:val="restart"/>
            <w:vAlign w:val="center"/>
          </w:tcPr>
          <w:p w:rsidR="001A2793" w:rsidRPr="00457791" w:rsidRDefault="00C75A06" w:rsidP="00BA2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F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793" w:rsidRPr="00457791" w:rsidTr="00CF154C">
        <w:tc>
          <w:tcPr>
            <w:tcW w:w="663" w:type="dxa"/>
            <w:vMerge/>
            <w:shd w:val="clear" w:color="auto" w:fill="BFBFBF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6C2B95" w:rsidRPr="00457791" w:rsidRDefault="006C2B95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C2B95" w:rsidRDefault="00B30234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</w:t>
            </w:r>
          </w:p>
          <w:p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5D7FEA" w:rsidRPr="00B30234" w:rsidRDefault="005D7FEA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3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 взятия проб для санитарно-бактериологического исследования объектов окружающей среды;</w:t>
            </w:r>
          </w:p>
          <w:p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к обеспечению качества и безопасности лабораторных исследований на основе национальных стандартов и нормативных правовых актов;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1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Санитарно-эпидемиологические требования к организации работы медицинских лабораторий;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5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индивидуальной защиты медицинского персонала и пациентов от инфицирования при выполнении лабораторных исследований;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1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Санитарно-эпидемиологические требования к проведению мероприятий по обеззараживанию и (или) обезвреживанию медицинских отходов класса Б и В, медицинских изделий, лабораторной посуды, инструментария, средств защиты;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99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Санитарные нормы и правила по работе с микроорганизмами I-IV группы патогенности;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99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экстренных профилактических мероприятий при возникновении аварийных ситуаций с риском инфицирования медицинского персонала; 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99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эксплуатации оборудования и требования охраны труда;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37" w:right="96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труда, основы личной безопасности и конфликтологии;</w:t>
            </w:r>
          </w:p>
          <w:p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37" w:right="96" w:hanging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hAnsi="Times New Roman"/>
                <w:color w:val="000000"/>
                <w:sz w:val="24"/>
                <w:szCs w:val="24"/>
              </w:rPr>
              <w:t>Санитарно-эпидемиологические требования к работе лабораторного подразделения медицинской организации</w:t>
            </w:r>
            <w:r w:rsidR="00FC50C5" w:rsidRPr="00B3023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A2793" w:rsidRPr="00457791" w:rsidRDefault="00FC50C5" w:rsidP="00CF154C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0234">
              <w:rPr>
                <w:rFonts w:ascii="Times New Roman" w:hAnsi="Times New Roman"/>
                <w:color w:val="000000"/>
                <w:sz w:val="24"/>
                <w:szCs w:val="24"/>
              </w:rPr>
              <w:t>Санитарные правила и нормы при обращении</w:t>
            </w:r>
            <w:r w:rsidR="00B302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медицинскими отходами.</w:t>
            </w:r>
          </w:p>
        </w:tc>
        <w:tc>
          <w:tcPr>
            <w:tcW w:w="1417" w:type="dxa"/>
            <w:vMerge/>
            <w:vAlign w:val="center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793" w:rsidRPr="00457791" w:rsidTr="00CF154C">
        <w:tc>
          <w:tcPr>
            <w:tcW w:w="663" w:type="dxa"/>
            <w:vMerge/>
            <w:shd w:val="clear" w:color="auto" w:fill="BFBFBF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6C2B95" w:rsidRPr="00457791" w:rsidRDefault="006C2B95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Профстандарт: 02.071 </w:t>
            </w:r>
          </w:p>
          <w:p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0B47A0" w:rsidRPr="00457791" w:rsidRDefault="000B47A0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231"/>
                <w:tab w:val="left" w:pos="1459"/>
                <w:tab w:val="left" w:pos="1706"/>
                <w:tab w:val="left" w:pos="1845"/>
                <w:tab w:val="left" w:pos="2872"/>
                <w:tab w:val="left" w:pos="3184"/>
                <w:tab w:val="left" w:pos="3932"/>
                <w:tab w:val="left" w:pos="4421"/>
                <w:tab w:val="left" w:pos="4831"/>
                <w:tab w:val="left" w:pos="5896"/>
                <w:tab w:val="left" w:pos="6004"/>
                <w:tab w:val="left" w:pos="6087"/>
                <w:tab w:val="left" w:pos="6661"/>
                <w:tab w:val="left" w:pos="6893"/>
                <w:tab w:val="left" w:pos="7224"/>
              </w:tabs>
              <w:spacing w:after="0" w:line="240" w:lineRule="auto"/>
              <w:ind w:left="337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выполнение санитарных норм и правил при работе с потенциально опасным биологическим материалом и с микроорганизмами I-IV группы патогенности;</w:t>
            </w:r>
          </w:p>
          <w:p w:rsidR="000B47A0" w:rsidRPr="00457791" w:rsidRDefault="000B47A0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231"/>
                <w:tab w:val="left" w:pos="1459"/>
                <w:tab w:val="left" w:pos="1706"/>
                <w:tab w:val="left" w:pos="1845"/>
                <w:tab w:val="left" w:pos="2872"/>
                <w:tab w:val="left" w:pos="3184"/>
                <w:tab w:val="left" w:pos="3932"/>
                <w:tab w:val="left" w:pos="4421"/>
                <w:tab w:val="left" w:pos="4831"/>
                <w:tab w:val="left" w:pos="5896"/>
                <w:tab w:val="left" w:pos="6004"/>
                <w:tab w:val="left" w:pos="6087"/>
                <w:tab w:val="left" w:pos="6661"/>
                <w:tab w:val="left" w:pos="6893"/>
                <w:tab w:val="left" w:pos="7224"/>
              </w:tabs>
              <w:spacing w:after="0" w:line="240" w:lineRule="auto"/>
              <w:ind w:left="337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 проводить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комплекс мероприятий по обеззараживанию и (или) обезвреживанию медицинских отходов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класса Б и В, медицинских изделий, лабораторной посуды, инструментария, средств защиты;</w:t>
            </w:r>
          </w:p>
          <w:p w:rsidR="000B47A0" w:rsidRPr="00457791" w:rsidRDefault="000B47A0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231"/>
                <w:tab w:val="left" w:pos="1459"/>
                <w:tab w:val="left" w:pos="1706"/>
                <w:tab w:val="left" w:pos="1845"/>
                <w:tab w:val="left" w:pos="2872"/>
                <w:tab w:val="left" w:pos="3184"/>
                <w:tab w:val="left" w:pos="3932"/>
                <w:tab w:val="left" w:pos="4421"/>
                <w:tab w:val="left" w:pos="4831"/>
                <w:tab w:val="left" w:pos="5896"/>
                <w:tab w:val="left" w:pos="6004"/>
                <w:tab w:val="left" w:pos="6087"/>
                <w:tab w:val="left" w:pos="6661"/>
                <w:tab w:val="left" w:pos="6893"/>
                <w:tab w:val="left" w:pos="7224"/>
              </w:tabs>
              <w:spacing w:after="0" w:line="240" w:lineRule="auto"/>
              <w:ind w:left="337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первичную обработку и экстренную профилактику инфекций, связанных с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оказаниеммедицинской помощи, припопадании биологических материалов на кожу, слизистые, при уколах, порезах; </w:t>
            </w:r>
          </w:p>
          <w:p w:rsidR="000B47A0" w:rsidRPr="000B47A0" w:rsidRDefault="000B47A0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231"/>
                <w:tab w:val="left" w:pos="1459"/>
                <w:tab w:val="left" w:pos="1706"/>
                <w:tab w:val="left" w:pos="1845"/>
                <w:tab w:val="left" w:pos="2872"/>
                <w:tab w:val="left" w:pos="3184"/>
                <w:tab w:val="left" w:pos="3932"/>
                <w:tab w:val="left" w:pos="4421"/>
                <w:tab w:val="left" w:pos="4831"/>
                <w:tab w:val="left" w:pos="5896"/>
                <w:tab w:val="left" w:pos="6004"/>
                <w:tab w:val="left" w:pos="6087"/>
                <w:tab w:val="left" w:pos="6661"/>
                <w:tab w:val="left" w:pos="6893"/>
                <w:tab w:val="left" w:pos="7224"/>
              </w:tabs>
              <w:spacing w:after="0" w:line="240" w:lineRule="auto"/>
              <w:ind w:left="337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эксплуатации оборудования и требования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B47A0" w:rsidRPr="0090662E" w:rsidRDefault="000B47A0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действия персонала по дезинфекции использованной лабораторной посуды, инструментария, средств защиты, обеззараживанию отработанного биоматериала;</w:t>
            </w:r>
          </w:p>
          <w:p w:rsidR="000B47A0" w:rsidRDefault="000B47A0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соблюдение требований охраны труда при работе с биоматериалом и с микроорганизмами</w:t>
            </w:r>
            <w:r w:rsid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B30234" w:rsidRPr="00B30234" w:rsidRDefault="00B30234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санитарно-противоэпидемический и гигиенический режим в судебно-ме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дицинском экспертном учреждении.</w:t>
            </w:r>
          </w:p>
          <w:p w:rsidR="001A2793" w:rsidRPr="00457791" w:rsidRDefault="001A2793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0A39" w:rsidRPr="00457791" w:rsidRDefault="00920A39" w:rsidP="00920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</w:rPr>
      </w:pPr>
      <w:r w:rsidRPr="004577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</w:rPr>
        <w:lastRenderedPageBreak/>
        <w:t>Проверить/соотнести с ФГОС, ПС, Отраслевыми стандартами</w:t>
      </w:r>
    </w:p>
    <w:p w:rsidR="00920A39" w:rsidRPr="00457791" w:rsidRDefault="00920A39" w:rsidP="00E579D6">
      <w:pPr>
        <w:pStyle w:val="aff4"/>
        <w:rPr>
          <w:b/>
          <w:i/>
          <w:sz w:val="28"/>
          <w:szCs w:val="28"/>
          <w:vertAlign w:val="subscript"/>
        </w:rPr>
      </w:pPr>
    </w:p>
    <w:p w:rsidR="007274B8" w:rsidRPr="00457791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210478326"/>
      <w:r w:rsidRPr="00457791">
        <w:rPr>
          <w:rFonts w:ascii="Times New Roman" w:hAnsi="Times New Roman"/>
          <w:szCs w:val="28"/>
        </w:rPr>
        <w:t>1</w:t>
      </w:r>
      <w:r w:rsidR="00D17132" w:rsidRPr="00457791">
        <w:rPr>
          <w:rFonts w:ascii="Times New Roman" w:hAnsi="Times New Roman"/>
          <w:szCs w:val="28"/>
        </w:rPr>
        <w:t>.</w:t>
      </w:r>
      <w:r w:rsidRPr="00457791">
        <w:rPr>
          <w:rFonts w:ascii="Times New Roman" w:hAnsi="Times New Roman"/>
          <w:szCs w:val="28"/>
        </w:rPr>
        <w:t>3</w:t>
      </w:r>
      <w:r w:rsidR="00AF76EA" w:rsidRPr="00457791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:rsidR="00DE39D8" w:rsidRPr="00457791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457791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 w:rsidRPr="00457791">
        <w:rPr>
          <w:rFonts w:ascii="Times New Roman" w:hAnsi="Times New Roman"/>
          <w:sz w:val="28"/>
          <w:szCs w:val="28"/>
          <w:lang w:val="ru-RU"/>
        </w:rPr>
        <w:t> </w:t>
      </w:r>
      <w:r w:rsidRPr="00457791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457791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8614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457791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457791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457791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457791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457791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457791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457791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457791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457791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457791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457791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457791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944" w:type="pct"/>
        <w:jc w:val="center"/>
        <w:tblLayout w:type="fixed"/>
        <w:tblLook w:val="04A0"/>
      </w:tblPr>
      <w:tblGrid>
        <w:gridCol w:w="1737"/>
        <w:gridCol w:w="504"/>
        <w:gridCol w:w="873"/>
        <w:gridCol w:w="873"/>
        <w:gridCol w:w="873"/>
        <w:gridCol w:w="873"/>
        <w:gridCol w:w="873"/>
        <w:gridCol w:w="874"/>
        <w:gridCol w:w="1984"/>
      </w:tblGrid>
      <w:tr w:rsidR="00F10695" w:rsidRPr="00457791" w:rsidTr="00E75B9B">
        <w:trPr>
          <w:trHeight w:val="944"/>
          <w:tblHeader/>
          <w:jc w:val="center"/>
        </w:trPr>
        <w:tc>
          <w:tcPr>
            <w:tcW w:w="3952" w:type="pct"/>
            <w:gridSpan w:val="8"/>
            <w:shd w:val="clear" w:color="auto" w:fill="92D050"/>
            <w:vAlign w:val="center"/>
          </w:tcPr>
          <w:p w:rsidR="00F10695" w:rsidRPr="00457791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48" w:type="pct"/>
            <w:vMerge w:val="restart"/>
            <w:shd w:val="clear" w:color="auto" w:fill="92D050"/>
            <w:vAlign w:val="center"/>
          </w:tcPr>
          <w:p w:rsidR="00F10695" w:rsidRPr="00457791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 xml:space="preserve">Итого баллов </w:t>
            </w:r>
          </w:p>
          <w:p w:rsidR="00F10695" w:rsidRPr="00457791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1A2793" w:rsidRPr="00457791" w:rsidTr="001A2793">
        <w:trPr>
          <w:trHeight w:val="50"/>
          <w:jc w:val="center"/>
        </w:trPr>
        <w:tc>
          <w:tcPr>
            <w:tcW w:w="918" w:type="pct"/>
            <w:vMerge w:val="restart"/>
            <w:shd w:val="clear" w:color="auto" w:fill="92D050"/>
            <w:vAlign w:val="center"/>
          </w:tcPr>
          <w:p w:rsidR="001A2793" w:rsidRPr="00457791" w:rsidRDefault="001A2793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67" w:type="pct"/>
            <w:shd w:val="clear" w:color="auto" w:fill="92D050"/>
            <w:vAlign w:val="center"/>
          </w:tcPr>
          <w:p w:rsidR="001A2793" w:rsidRPr="00457791" w:rsidRDefault="001A2793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00B050"/>
            <w:vAlign w:val="center"/>
          </w:tcPr>
          <w:p w:rsidR="001A2793" w:rsidRPr="00457791" w:rsidRDefault="001A2793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61" w:type="pct"/>
            <w:shd w:val="clear" w:color="auto" w:fill="00B050"/>
            <w:vAlign w:val="center"/>
          </w:tcPr>
          <w:p w:rsidR="001A2793" w:rsidRPr="00457791" w:rsidRDefault="001A2793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61" w:type="pct"/>
            <w:shd w:val="clear" w:color="auto" w:fill="00B050"/>
            <w:vAlign w:val="center"/>
          </w:tcPr>
          <w:p w:rsidR="001A2793" w:rsidRPr="00457791" w:rsidRDefault="001A2793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pct"/>
            <w:shd w:val="clear" w:color="auto" w:fill="00B050"/>
            <w:vAlign w:val="center"/>
          </w:tcPr>
          <w:p w:rsidR="001A2793" w:rsidRPr="00457791" w:rsidRDefault="001A2793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61" w:type="pct"/>
            <w:shd w:val="clear" w:color="auto" w:fill="00B050"/>
            <w:vAlign w:val="center"/>
          </w:tcPr>
          <w:p w:rsidR="001A2793" w:rsidRPr="00457791" w:rsidRDefault="001A2793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62" w:type="pct"/>
            <w:shd w:val="clear" w:color="auto" w:fill="00B050"/>
            <w:vAlign w:val="center"/>
          </w:tcPr>
          <w:p w:rsidR="001A2793" w:rsidRPr="00457791" w:rsidRDefault="001A2793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048" w:type="pct"/>
            <w:vMerge/>
            <w:shd w:val="clear" w:color="auto" w:fill="00B050"/>
            <w:vAlign w:val="center"/>
          </w:tcPr>
          <w:p w:rsidR="001A2793" w:rsidRPr="00457791" w:rsidRDefault="001A2793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1A2793" w:rsidRPr="00457791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:rsidR="001A2793" w:rsidRPr="00457791" w:rsidRDefault="001A2793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61" w:type="pct"/>
            <w:vAlign w:val="center"/>
          </w:tcPr>
          <w:p w:rsidR="001A2793" w:rsidRPr="00457791" w:rsidRDefault="00964078" w:rsidP="00BA2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BA2085">
              <w:rPr>
                <w:sz w:val="24"/>
                <w:szCs w:val="24"/>
              </w:rPr>
              <w:t>0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F2F2F2"/>
            <w:vAlign w:val="center"/>
          </w:tcPr>
          <w:p w:rsidR="001A2793" w:rsidRPr="00457791" w:rsidRDefault="00964078" w:rsidP="00BA208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21AD2">
              <w:rPr>
                <w:sz w:val="24"/>
                <w:szCs w:val="24"/>
              </w:rPr>
              <w:t>,</w:t>
            </w:r>
            <w:r w:rsidR="00BA2085">
              <w:rPr>
                <w:sz w:val="24"/>
                <w:szCs w:val="24"/>
              </w:rPr>
              <w:t>0</w:t>
            </w:r>
            <w:r w:rsidR="00D87F9F">
              <w:rPr>
                <w:sz w:val="24"/>
                <w:szCs w:val="24"/>
              </w:rPr>
              <w:t>0</w:t>
            </w:r>
          </w:p>
        </w:tc>
      </w:tr>
      <w:tr w:rsidR="001A2793" w:rsidRPr="00457791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:rsidR="001A2793" w:rsidRPr="00457791" w:rsidRDefault="001A2793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D87F9F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32,10</w:t>
            </w: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F2F2F2"/>
            <w:vAlign w:val="center"/>
          </w:tcPr>
          <w:p w:rsidR="001A2793" w:rsidRPr="00457791" w:rsidRDefault="00D87F9F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32,10</w:t>
            </w:r>
          </w:p>
        </w:tc>
      </w:tr>
      <w:tr w:rsidR="001A2793" w:rsidRPr="00457791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:rsidR="001A2793" w:rsidRPr="00457791" w:rsidRDefault="001A2793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230427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5A06">
              <w:rPr>
                <w:sz w:val="24"/>
                <w:szCs w:val="24"/>
              </w:rPr>
              <w:t>,</w:t>
            </w:r>
            <w:r w:rsidR="003C341C">
              <w:rPr>
                <w:sz w:val="24"/>
                <w:szCs w:val="24"/>
              </w:rPr>
              <w:t>8</w:t>
            </w:r>
            <w:r w:rsidR="00C75A06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F2F2F2"/>
            <w:vAlign w:val="center"/>
          </w:tcPr>
          <w:p w:rsidR="001A2793" w:rsidRPr="00457791" w:rsidRDefault="00230427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5A06">
              <w:rPr>
                <w:sz w:val="24"/>
                <w:szCs w:val="24"/>
              </w:rPr>
              <w:t>,</w:t>
            </w:r>
            <w:r w:rsidR="003C341C">
              <w:rPr>
                <w:sz w:val="24"/>
                <w:szCs w:val="24"/>
              </w:rPr>
              <w:t>8</w:t>
            </w:r>
            <w:r w:rsidR="00C75A06">
              <w:rPr>
                <w:sz w:val="24"/>
                <w:szCs w:val="24"/>
              </w:rPr>
              <w:t>0</w:t>
            </w:r>
          </w:p>
        </w:tc>
      </w:tr>
      <w:tr w:rsidR="001A2793" w:rsidRPr="00457791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:rsidR="001A2793" w:rsidRPr="00457791" w:rsidRDefault="001A2793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D87F9F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6E2F">
              <w:rPr>
                <w:sz w:val="24"/>
                <w:szCs w:val="24"/>
              </w:rPr>
              <w:t>8</w:t>
            </w:r>
            <w:r w:rsidR="00C75A06">
              <w:rPr>
                <w:sz w:val="24"/>
                <w:szCs w:val="24"/>
              </w:rPr>
              <w:t>,</w:t>
            </w:r>
            <w:r w:rsidR="00986E2F">
              <w:rPr>
                <w:sz w:val="24"/>
                <w:szCs w:val="24"/>
              </w:rPr>
              <w:t>2</w:t>
            </w:r>
            <w:r w:rsidR="00C75A06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F2F2F2"/>
            <w:vAlign w:val="center"/>
          </w:tcPr>
          <w:p w:rsidR="001A2793" w:rsidRPr="00457791" w:rsidRDefault="00C75A06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244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6F24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1A2793" w:rsidRPr="00457791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:rsidR="001A2793" w:rsidRPr="00457791" w:rsidRDefault="001A2793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307B6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  <w:r w:rsidR="00C75A06">
              <w:rPr>
                <w:sz w:val="24"/>
                <w:szCs w:val="24"/>
              </w:rPr>
              <w:t>0</w:t>
            </w:r>
          </w:p>
        </w:tc>
        <w:tc>
          <w:tcPr>
            <w:tcW w:w="462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F2F2F2"/>
            <w:vAlign w:val="center"/>
          </w:tcPr>
          <w:p w:rsidR="001A2793" w:rsidRPr="00457791" w:rsidRDefault="001307B6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  <w:r w:rsidR="00C75A06">
              <w:rPr>
                <w:sz w:val="24"/>
                <w:szCs w:val="24"/>
              </w:rPr>
              <w:t>0</w:t>
            </w:r>
          </w:p>
        </w:tc>
      </w:tr>
      <w:tr w:rsidR="001A2793" w:rsidRPr="00457791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:rsidR="001A2793" w:rsidRPr="00457791" w:rsidRDefault="001A2793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1A2793" w:rsidRPr="00457791" w:rsidRDefault="001307B6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  <w:r w:rsidR="00C75A06">
              <w:rPr>
                <w:sz w:val="24"/>
                <w:szCs w:val="24"/>
              </w:rPr>
              <w:t>0</w:t>
            </w:r>
          </w:p>
        </w:tc>
        <w:tc>
          <w:tcPr>
            <w:tcW w:w="1048" w:type="pct"/>
            <w:shd w:val="clear" w:color="auto" w:fill="F2F2F2"/>
            <w:vAlign w:val="center"/>
          </w:tcPr>
          <w:p w:rsidR="001A2793" w:rsidRPr="00457791" w:rsidRDefault="001307B6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  <w:r w:rsidR="00C75A06">
              <w:rPr>
                <w:sz w:val="24"/>
                <w:szCs w:val="24"/>
              </w:rPr>
              <w:t>0</w:t>
            </w:r>
          </w:p>
        </w:tc>
      </w:tr>
      <w:tr w:rsidR="001A2793" w:rsidRPr="00457791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:rsidR="001A2793" w:rsidRPr="001A2793" w:rsidRDefault="001A2793" w:rsidP="00B461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1" w:type="pct"/>
            <w:vAlign w:val="center"/>
          </w:tcPr>
          <w:p w:rsidR="001A2793" w:rsidRPr="00457791" w:rsidRDefault="00121AD2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DC5213">
              <w:rPr>
                <w:sz w:val="24"/>
                <w:szCs w:val="24"/>
              </w:rPr>
              <w:t>6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A2793" w:rsidRPr="00457791" w:rsidRDefault="00D87F9F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</w:tc>
        <w:tc>
          <w:tcPr>
            <w:tcW w:w="461" w:type="pct"/>
            <w:vAlign w:val="center"/>
          </w:tcPr>
          <w:p w:rsidR="001A2793" w:rsidRPr="00457791" w:rsidRDefault="003C341C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7F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A2793" w:rsidRPr="00457791" w:rsidRDefault="00D87F9F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61" w:type="pct"/>
            <w:vAlign w:val="center"/>
          </w:tcPr>
          <w:p w:rsidR="001A2793" w:rsidRPr="00457791" w:rsidRDefault="001307B6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2" w:type="pct"/>
            <w:vAlign w:val="center"/>
          </w:tcPr>
          <w:p w:rsidR="001A2793" w:rsidRPr="00457791" w:rsidRDefault="001307B6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1048" w:type="pct"/>
            <w:shd w:val="clear" w:color="auto" w:fill="F2F2F2"/>
            <w:vAlign w:val="center"/>
          </w:tcPr>
          <w:p w:rsidR="001A2793" w:rsidRPr="00457791" w:rsidRDefault="006F2440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11,60</w:t>
            </w:r>
          </w:p>
        </w:tc>
      </w:tr>
      <w:tr w:rsidR="001A2793" w:rsidRPr="00457791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:rsidR="001A2793" w:rsidRPr="001A2793" w:rsidRDefault="001A2793" w:rsidP="00B461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1" w:type="pct"/>
            <w:vAlign w:val="center"/>
          </w:tcPr>
          <w:p w:rsidR="001A2793" w:rsidRPr="00457791" w:rsidRDefault="00121AD2" w:rsidP="00BA2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BA2085">
              <w:rPr>
                <w:sz w:val="24"/>
                <w:szCs w:val="24"/>
              </w:rPr>
              <w:t>4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A2793" w:rsidRPr="00457791" w:rsidRDefault="00D87F9F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461" w:type="pct"/>
            <w:vAlign w:val="center"/>
          </w:tcPr>
          <w:p w:rsidR="001A2793" w:rsidRPr="00457791" w:rsidRDefault="003C341C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7F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A2793" w:rsidRPr="00457791" w:rsidRDefault="00986E2F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87F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A2793" w:rsidRPr="00457791" w:rsidRDefault="001307B6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2" w:type="pct"/>
            <w:vAlign w:val="center"/>
          </w:tcPr>
          <w:p w:rsidR="001A2793" w:rsidRPr="00457791" w:rsidRDefault="001307B6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1048" w:type="pct"/>
            <w:shd w:val="clear" w:color="auto" w:fill="F2F2F2"/>
            <w:vAlign w:val="center"/>
          </w:tcPr>
          <w:p w:rsidR="001A2793" w:rsidRPr="00457791" w:rsidRDefault="006F2440" w:rsidP="00BA208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10,10</w:t>
            </w:r>
          </w:p>
        </w:tc>
      </w:tr>
      <w:tr w:rsidR="00B46192" w:rsidRPr="00457791" w:rsidTr="001A2793">
        <w:trPr>
          <w:trHeight w:val="50"/>
          <w:jc w:val="center"/>
        </w:trPr>
        <w:tc>
          <w:tcPr>
            <w:tcW w:w="1185" w:type="pct"/>
            <w:gridSpan w:val="2"/>
            <w:shd w:val="clear" w:color="auto" w:fill="00B050"/>
            <w:vAlign w:val="center"/>
          </w:tcPr>
          <w:p w:rsidR="00B46192" w:rsidRPr="00457791" w:rsidRDefault="00B46192" w:rsidP="00B46192">
            <w:pPr>
              <w:jc w:val="center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B46192" w:rsidRPr="00457791" w:rsidRDefault="00B46192" w:rsidP="00B46192">
            <w:pPr>
              <w:ind w:left="-116" w:right="-77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10</w:t>
            </w:r>
            <w:r w:rsidR="00D87F9F">
              <w:rPr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B46192" w:rsidRPr="00457791" w:rsidRDefault="00B46192" w:rsidP="00B46192">
            <w:pPr>
              <w:ind w:left="-139" w:right="-55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40</w:t>
            </w:r>
            <w:r w:rsidR="00D87F9F">
              <w:rPr>
                <w:sz w:val="24"/>
                <w:szCs w:val="24"/>
              </w:rPr>
              <w:t>,0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B46192" w:rsidRPr="00457791" w:rsidRDefault="00B46192" w:rsidP="00B46192">
            <w:pPr>
              <w:ind w:left="-161" w:right="-174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10</w:t>
            </w:r>
            <w:r w:rsidR="00D87F9F">
              <w:rPr>
                <w:sz w:val="24"/>
                <w:szCs w:val="24"/>
              </w:rPr>
              <w:t>,0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B46192" w:rsidRPr="00457791" w:rsidRDefault="00B46192" w:rsidP="00B46192">
            <w:pPr>
              <w:ind w:left="-42" w:right="-151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20</w:t>
            </w:r>
            <w:r w:rsidR="00D87F9F">
              <w:rPr>
                <w:sz w:val="24"/>
                <w:szCs w:val="24"/>
              </w:rPr>
              <w:t>,0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B46192" w:rsidRPr="00457791" w:rsidRDefault="00B46192" w:rsidP="00B46192">
            <w:pPr>
              <w:ind w:left="-65" w:right="-129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10</w:t>
            </w:r>
            <w:r w:rsidR="00D87F9F">
              <w:rPr>
                <w:sz w:val="24"/>
                <w:szCs w:val="24"/>
              </w:rPr>
              <w:t>,0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:rsidR="00B46192" w:rsidRPr="00457791" w:rsidRDefault="00B46192" w:rsidP="00B46192">
            <w:pPr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10</w:t>
            </w:r>
            <w:r w:rsidR="00D87F9F">
              <w:rPr>
                <w:sz w:val="24"/>
                <w:szCs w:val="24"/>
              </w:rPr>
              <w:t>,0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B46192" w:rsidRPr="00457791" w:rsidRDefault="00B46192" w:rsidP="00B46192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100</w:t>
            </w:r>
            <w:r w:rsidR="00D87F9F">
              <w:rPr>
                <w:b/>
                <w:sz w:val="24"/>
                <w:szCs w:val="24"/>
              </w:rPr>
              <w:t>,0</w:t>
            </w:r>
          </w:p>
        </w:tc>
      </w:tr>
    </w:tbl>
    <w:p w:rsidR="008E5424" w:rsidRPr="00457791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457791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210478327"/>
      <w:r w:rsidRPr="00457791">
        <w:rPr>
          <w:rFonts w:ascii="Times New Roman" w:hAnsi="Times New Roman"/>
          <w:szCs w:val="28"/>
        </w:rPr>
        <w:t>1</w:t>
      </w:r>
      <w:r w:rsidR="00643A8A" w:rsidRPr="00457791">
        <w:rPr>
          <w:rFonts w:ascii="Times New Roman" w:hAnsi="Times New Roman"/>
          <w:szCs w:val="28"/>
        </w:rPr>
        <w:t>.</w:t>
      </w:r>
      <w:r w:rsidRPr="00457791">
        <w:rPr>
          <w:rFonts w:ascii="Times New Roman" w:hAnsi="Times New Roman"/>
          <w:szCs w:val="28"/>
        </w:rPr>
        <w:t>4</w:t>
      </w:r>
      <w:r w:rsidR="00AA2B8A" w:rsidRPr="00457791">
        <w:rPr>
          <w:rFonts w:ascii="Times New Roman" w:hAnsi="Times New Roman"/>
          <w:szCs w:val="28"/>
        </w:rPr>
        <w:t xml:space="preserve">. </w:t>
      </w:r>
      <w:r w:rsidR="00F10695" w:rsidRPr="00457791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:rsidR="00DE39D8" w:rsidRPr="00457791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457791">
        <w:rPr>
          <w:rFonts w:ascii="Times New Roman" w:hAnsi="Times New Roman" w:cs="Times New Roman"/>
          <w:sz w:val="28"/>
          <w:szCs w:val="28"/>
        </w:rPr>
        <w:t>К</w:t>
      </w:r>
      <w:r w:rsidRPr="00457791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457791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457791">
        <w:rPr>
          <w:rFonts w:ascii="Times New Roman" w:hAnsi="Times New Roman" w:cs="Times New Roman"/>
          <w:sz w:val="28"/>
          <w:szCs w:val="28"/>
        </w:rPr>
        <w:t>3</w:t>
      </w:r>
      <w:r w:rsidR="00F10695" w:rsidRPr="00457791">
        <w:rPr>
          <w:rFonts w:ascii="Times New Roman" w:hAnsi="Times New Roman" w:cs="Times New Roman"/>
          <w:sz w:val="28"/>
          <w:szCs w:val="28"/>
        </w:rPr>
        <w:t>.</w:t>
      </w:r>
    </w:p>
    <w:p w:rsidR="00640E46" w:rsidRPr="00457791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5779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457791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457791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791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31"/>
        <w:gridCol w:w="3181"/>
        <w:gridCol w:w="5859"/>
      </w:tblGrid>
      <w:tr w:rsidR="008761F3" w:rsidRPr="00457791" w:rsidTr="00CF154C">
        <w:trPr>
          <w:tblHeader/>
        </w:trPr>
        <w:tc>
          <w:tcPr>
            <w:tcW w:w="1939" w:type="pct"/>
            <w:gridSpan w:val="2"/>
            <w:shd w:val="clear" w:color="auto" w:fill="92D050"/>
          </w:tcPr>
          <w:p w:rsidR="008761F3" w:rsidRPr="00457791" w:rsidRDefault="0047429B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061" w:type="pct"/>
            <w:shd w:val="clear" w:color="auto" w:fill="92D050"/>
          </w:tcPr>
          <w:p w:rsidR="008761F3" w:rsidRPr="00457791" w:rsidRDefault="008761F3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57791">
              <w:rPr>
                <w:b/>
                <w:sz w:val="24"/>
                <w:szCs w:val="24"/>
              </w:rPr>
              <w:t>в критерии</w:t>
            </w:r>
          </w:p>
        </w:tc>
      </w:tr>
      <w:tr w:rsidR="00B46192" w:rsidRPr="00457791" w:rsidTr="00CF154C">
        <w:tc>
          <w:tcPr>
            <w:tcW w:w="277" w:type="pct"/>
            <w:shd w:val="clear" w:color="auto" w:fill="00B050"/>
          </w:tcPr>
          <w:p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662" w:type="pct"/>
            <w:shd w:val="clear" w:color="auto" w:fill="92D050"/>
          </w:tcPr>
          <w:p w:rsidR="00B46192" w:rsidRPr="00457791" w:rsidRDefault="00B46192" w:rsidP="00B46192">
            <w:pPr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Выполнение организационно-технических и базовых процедур при выполнении различных видов</w:t>
            </w:r>
            <w:r w:rsidR="008137E5">
              <w:rPr>
                <w:b/>
                <w:sz w:val="24"/>
                <w:szCs w:val="24"/>
              </w:rPr>
              <w:t xml:space="preserve"> </w:t>
            </w:r>
            <w:r w:rsidRPr="00457791">
              <w:rPr>
                <w:b/>
                <w:sz w:val="24"/>
                <w:szCs w:val="24"/>
              </w:rPr>
              <w:t>лабораторных исследований</w:t>
            </w:r>
          </w:p>
        </w:tc>
        <w:tc>
          <w:tcPr>
            <w:tcW w:w="3061" w:type="pct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  <w:tr w:rsidR="00B46192" w:rsidRPr="00457791" w:rsidTr="00CF154C">
        <w:tc>
          <w:tcPr>
            <w:tcW w:w="277" w:type="pct"/>
            <w:shd w:val="clear" w:color="auto" w:fill="00B050"/>
          </w:tcPr>
          <w:p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662" w:type="pct"/>
            <w:shd w:val="clear" w:color="auto" w:fill="92D050"/>
          </w:tcPr>
          <w:p w:rsidR="00B46192" w:rsidRPr="00457791" w:rsidRDefault="00B46192" w:rsidP="00B46192">
            <w:pPr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Выполнение клинических лабораторных исследований первой и второй категории</w:t>
            </w:r>
          </w:p>
        </w:tc>
        <w:tc>
          <w:tcPr>
            <w:tcW w:w="3061" w:type="pct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0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  <w:tr w:rsidR="00B46192" w:rsidRPr="00457791" w:rsidTr="00CF154C">
        <w:tc>
          <w:tcPr>
            <w:tcW w:w="277" w:type="pct"/>
            <w:shd w:val="clear" w:color="auto" w:fill="00B050"/>
          </w:tcPr>
          <w:p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662" w:type="pct"/>
            <w:shd w:val="clear" w:color="auto" w:fill="92D050"/>
          </w:tcPr>
          <w:p w:rsidR="00B46192" w:rsidRPr="00457791" w:rsidRDefault="00B46192" w:rsidP="00B46192">
            <w:pPr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Выполнение микробиологических лабораторных исследований первой и второй категории</w:t>
            </w:r>
          </w:p>
        </w:tc>
        <w:tc>
          <w:tcPr>
            <w:tcW w:w="3061" w:type="pct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  <w:tr w:rsidR="00B46192" w:rsidRPr="00457791" w:rsidTr="00CF154C">
        <w:tc>
          <w:tcPr>
            <w:tcW w:w="277" w:type="pct"/>
            <w:shd w:val="clear" w:color="auto" w:fill="00B050"/>
          </w:tcPr>
          <w:p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662" w:type="pct"/>
            <w:shd w:val="clear" w:color="auto" w:fill="92D050"/>
          </w:tcPr>
          <w:p w:rsidR="00B46192" w:rsidRPr="00457791" w:rsidRDefault="00B46192" w:rsidP="00B46192">
            <w:pPr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Выполнение морфологических лабораторных исследований первой и второй категории</w:t>
            </w:r>
          </w:p>
        </w:tc>
        <w:tc>
          <w:tcPr>
            <w:tcW w:w="3061" w:type="pct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 проведенного исследования сопоставление полученного результата с нормативными показателями)</w:t>
            </w:r>
          </w:p>
        </w:tc>
      </w:tr>
      <w:tr w:rsidR="00B46192" w:rsidRPr="00457791" w:rsidTr="00CF154C">
        <w:tc>
          <w:tcPr>
            <w:tcW w:w="277" w:type="pct"/>
            <w:shd w:val="clear" w:color="auto" w:fill="00B050"/>
          </w:tcPr>
          <w:p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662" w:type="pct"/>
            <w:shd w:val="clear" w:color="auto" w:fill="92D050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ind w:left="25" w:right="96"/>
              <w:rPr>
                <w:b/>
                <w:color w:val="000000"/>
                <w:sz w:val="24"/>
                <w:szCs w:val="24"/>
              </w:rPr>
            </w:pPr>
            <w:r w:rsidRPr="00457791">
              <w:rPr>
                <w:b/>
                <w:color w:val="000000"/>
                <w:sz w:val="24"/>
                <w:szCs w:val="24"/>
              </w:rPr>
              <w:t>Выполнение санитарно-эпидемиологических</w:t>
            </w:r>
          </w:p>
          <w:p w:rsidR="00B46192" w:rsidRPr="00457791" w:rsidRDefault="00B46192" w:rsidP="00B46192">
            <w:pPr>
              <w:ind w:left="25"/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исследований</w:t>
            </w:r>
          </w:p>
        </w:tc>
        <w:tc>
          <w:tcPr>
            <w:tcW w:w="3061" w:type="pct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7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  <w:tr w:rsidR="00B46192" w:rsidRPr="00457791" w:rsidTr="00CF154C">
        <w:tc>
          <w:tcPr>
            <w:tcW w:w="277" w:type="pct"/>
            <w:shd w:val="clear" w:color="auto" w:fill="00B050"/>
          </w:tcPr>
          <w:p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662" w:type="pct"/>
            <w:shd w:val="clear" w:color="auto" w:fill="92D050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" w:right="101"/>
              <w:jc w:val="both"/>
              <w:rPr>
                <w:b/>
                <w:color w:val="000000"/>
                <w:sz w:val="24"/>
                <w:szCs w:val="24"/>
              </w:rPr>
            </w:pPr>
            <w:r w:rsidRPr="00457791">
              <w:rPr>
                <w:b/>
                <w:color w:val="000000"/>
                <w:sz w:val="24"/>
                <w:szCs w:val="24"/>
              </w:rPr>
              <w:t>Выполнение лабораторных и инструментальных</w:t>
            </w:r>
          </w:p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ind w:left="25" w:right="96"/>
              <w:rPr>
                <w:b/>
                <w:color w:val="000000"/>
                <w:sz w:val="24"/>
                <w:szCs w:val="24"/>
              </w:rPr>
            </w:pPr>
            <w:r w:rsidRPr="00457791">
              <w:rPr>
                <w:b/>
                <w:color w:val="000000"/>
                <w:sz w:val="24"/>
                <w:szCs w:val="24"/>
              </w:rPr>
              <w:t>исследований при судебно-медицинских экспертиз (исследований)</w:t>
            </w:r>
          </w:p>
        </w:tc>
        <w:tc>
          <w:tcPr>
            <w:tcW w:w="3061" w:type="pct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</w:tbl>
    <w:p w:rsidR="0037535C" w:rsidRPr="00457791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457791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10478328"/>
      <w:r w:rsidRPr="00457791">
        <w:rPr>
          <w:rFonts w:ascii="Times New Roman" w:hAnsi="Times New Roman"/>
          <w:szCs w:val="28"/>
        </w:rPr>
        <w:t>1.5. Содержание конкурсного задания</w:t>
      </w:r>
      <w:bookmarkEnd w:id="9"/>
    </w:p>
    <w:p w:rsidR="009E52E7" w:rsidRPr="00457791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2"/>
      </w:r>
      <w:r w:rsidR="00F10695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="00F10695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</w:p>
    <w:p w:rsidR="009E52E7" w:rsidRPr="00457791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F35F4F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9E52E7" w:rsidRPr="00457791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 w:rsidRPr="00457791">
        <w:rPr>
          <w:rFonts w:ascii="Times New Roman" w:hAnsi="Times New Roman" w:cs="Times New Roman"/>
          <w:sz w:val="28"/>
          <w:szCs w:val="28"/>
        </w:rPr>
        <w:t>ет</w:t>
      </w:r>
      <w:r w:rsidRPr="00457791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 w:rsidRPr="00457791">
        <w:rPr>
          <w:rFonts w:ascii="Times New Roman" w:hAnsi="Times New Roman" w:cs="Times New Roman"/>
          <w:sz w:val="28"/>
          <w:szCs w:val="28"/>
        </w:rPr>
        <w:t> </w:t>
      </w:r>
      <w:r w:rsidRPr="00457791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457791">
        <w:rPr>
          <w:rFonts w:ascii="Times New Roman" w:hAnsi="Times New Roman" w:cs="Times New Roman"/>
          <w:sz w:val="28"/>
          <w:szCs w:val="28"/>
        </w:rPr>
        <w:t>требований</w:t>
      </w:r>
      <w:r w:rsidRPr="00457791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lastRenderedPageBreak/>
        <w:t xml:space="preserve">Оценка знаний </w:t>
      </w:r>
      <w:r w:rsidR="00561024" w:rsidRPr="00457791">
        <w:rPr>
          <w:rFonts w:ascii="Times New Roman" w:hAnsi="Times New Roman" w:cs="Times New Roman"/>
          <w:sz w:val="28"/>
          <w:szCs w:val="28"/>
        </w:rPr>
        <w:t>конкурсанта</w:t>
      </w:r>
      <w:r w:rsidR="008614FC">
        <w:rPr>
          <w:rFonts w:ascii="Times New Roman" w:hAnsi="Times New Roman" w:cs="Times New Roman"/>
          <w:sz w:val="28"/>
          <w:szCs w:val="28"/>
        </w:rPr>
        <w:t xml:space="preserve"> </w:t>
      </w:r>
      <w:r w:rsidR="00F10695" w:rsidRPr="00457791">
        <w:rPr>
          <w:rFonts w:ascii="Times New Roman" w:hAnsi="Times New Roman" w:cs="Times New Roman"/>
          <w:sz w:val="28"/>
          <w:szCs w:val="28"/>
        </w:rPr>
        <w:t>проводит</w:t>
      </w:r>
      <w:r w:rsidRPr="00457791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457791">
        <w:rPr>
          <w:rFonts w:ascii="Times New Roman" w:hAnsi="Times New Roman" w:cs="Times New Roman"/>
          <w:sz w:val="28"/>
          <w:szCs w:val="28"/>
        </w:rPr>
        <w:t>.</w:t>
      </w:r>
    </w:p>
    <w:p w:rsidR="00E03D77" w:rsidRPr="00457791" w:rsidRDefault="00E03D7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457791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10478329"/>
      <w:r w:rsidRPr="00457791">
        <w:rPr>
          <w:rFonts w:ascii="Times New Roman" w:hAnsi="Times New Roman"/>
          <w:szCs w:val="28"/>
        </w:rPr>
        <w:t xml:space="preserve">1.5.1. </w:t>
      </w:r>
      <w:r w:rsidR="008C41F7" w:rsidRPr="00457791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:rsidR="008C41F7" w:rsidRPr="00457791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–3 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–3 модуля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457791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100.</w:t>
      </w:r>
    </w:p>
    <w:p w:rsidR="00BE2ED0" w:rsidRPr="00457791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Вариативная часть может подвергаться изменениям, в зависимости от потребностей региона в технологиях и специалистах.</w:t>
      </w:r>
    </w:p>
    <w:p w:rsidR="00BE2ED0" w:rsidRDefault="00BE2ED0" w:rsidP="0045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 w:rsidR="00D45405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D45405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ого(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45405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</w:t>
      </w:r>
      <w:r w:rsidR="004669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:rsidR="00EC1885" w:rsidRPr="00457791" w:rsidRDefault="00EC1885" w:rsidP="0045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AE0" w:rsidRPr="00457791" w:rsidRDefault="00730AE0" w:rsidP="00457791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10478330"/>
      <w:r w:rsidRPr="00457791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1"/>
    </w:p>
    <w:p w:rsidR="00730AE0" w:rsidRPr="00457791" w:rsidRDefault="00730AE0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8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46192"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Выполнение организационно-технических и базовых процедур при выполнении различных видов лабораторных исследований (инвариант)</w:t>
      </w:r>
    </w:p>
    <w:p w:rsidR="00730AE0" w:rsidRPr="00457791" w:rsidRDefault="00730AE0" w:rsidP="004577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614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>1час 30 минут</w:t>
      </w:r>
    </w:p>
    <w:p w:rsidR="00465470" w:rsidRPr="00457791" w:rsidRDefault="00730AE0" w:rsidP="004577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46192" w:rsidRPr="002D4B84" w:rsidRDefault="00B46192" w:rsidP="000C797A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ind w:left="714" w:right="57" w:hanging="357"/>
        <w:jc w:val="both"/>
        <w:rPr>
          <w:rFonts w:ascii="Times New Roman" w:hAnsi="Times New Roman" w:cs="Times New Roman"/>
          <w:color w:val="000000"/>
        </w:rPr>
      </w:pPr>
      <w:r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регистрацию поступившего в лабораторию биологического </w:t>
      </w:r>
      <w:r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материала – кровь на определение группы и резус-фактора.</w:t>
      </w:r>
    </w:p>
    <w:p w:rsidR="00B46192" w:rsidRPr="002D4B84" w:rsidRDefault="00B46192" w:rsidP="000C797A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ind w:left="714" w:right="57" w:hanging="357"/>
        <w:jc w:val="both"/>
        <w:rPr>
          <w:rFonts w:ascii="Times New Roman" w:hAnsi="Times New Roman" w:cs="Times New Roman"/>
          <w:color w:val="000000"/>
        </w:rPr>
      </w:pPr>
      <w:r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278C4"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иготовление </w:t>
      </w:r>
      <w:r w:rsidR="002D4B84"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дезинфицирующего</w:t>
      </w:r>
      <w:r w:rsidR="005278C4"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раствора заданной концентрации.</w:t>
      </w:r>
    </w:p>
    <w:p w:rsidR="00B46192" w:rsidRPr="00FA68B8" w:rsidRDefault="00B46192" w:rsidP="000C797A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ind w:left="714" w:right="57" w:hanging="357"/>
        <w:jc w:val="both"/>
        <w:rPr>
          <w:rFonts w:ascii="Times New Roman" w:hAnsi="Times New Roman" w:cs="Times New Roman"/>
          <w:color w:val="000000"/>
        </w:rPr>
      </w:pPr>
      <w:r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дезинфекцию центрифуги после завершения работы с образцами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крови.</w:t>
      </w:r>
    </w:p>
    <w:p w:rsidR="00FA68B8" w:rsidRPr="00457791" w:rsidRDefault="00FA68B8" w:rsidP="00FA68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ind w:left="714" w:right="57"/>
        <w:jc w:val="both"/>
        <w:rPr>
          <w:rFonts w:ascii="Times New Roman" w:hAnsi="Times New Roman" w:cs="Times New Roman"/>
          <w:color w:val="000000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:rsidR="00457791" w:rsidRDefault="00457791" w:rsidP="004577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3F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письменные работы выполняются четко и разборчиво. Предоставление как чистовых, так и черновых материалов является обязательным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F1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лист должен быть подписан </w:t>
      </w:r>
      <w:r w:rsidR="0046699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5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исследования предоставляются экспертам после выполнения задания непосредственно </w:t>
      </w:r>
      <w:r w:rsidR="0046699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Биологический материал – кровь. </w:t>
      </w:r>
      <w:r w:rsidR="00BD5C66" w:rsidRPr="00BD5C66">
        <w:rPr>
          <w:rFonts w:ascii="Times New Roman" w:eastAsia="Times New Roman" w:hAnsi="Times New Roman" w:cs="Times New Roman"/>
          <w:color w:val="000000"/>
          <w:sz w:val="28"/>
          <w:szCs w:val="28"/>
        </w:rPr>
        <w:t>Вакуумные пробирки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направлениями помещают в укладку-контейнер для транспортировки материала. Допустимо для работы использовать имитацию биологического материала.</w:t>
      </w:r>
    </w:p>
    <w:p w:rsidR="00B46192" w:rsidRPr="00457791" w:rsidRDefault="00B46192" w:rsidP="004577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Pr="00457791" w:rsidRDefault="00465470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8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="008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1885" w:rsidRPr="00EC1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Выполнение клинических лабораторных исследований первой и второй категории </w:t>
      </w:r>
      <w:r w:rsidRPr="003D5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 w:rsidR="003D5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465470" w:rsidRPr="00457791" w:rsidRDefault="00465470" w:rsidP="004577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8614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B46192" w:rsidRPr="00457791" w:rsidRDefault="00B46192" w:rsidP="00FA68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B46192" w:rsidRPr="00BD5C66" w:rsidRDefault="00BD5C66" w:rsidP="008614FC">
      <w:pPr>
        <w:pStyle w:val="aff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360" w:lineRule="auto"/>
        <w:ind w:left="714" w:right="147" w:hanging="357"/>
        <w:jc w:val="both"/>
        <w:rPr>
          <w:rFonts w:ascii="Times New Roman" w:hAnsi="Times New Roman"/>
          <w:color w:val="000000"/>
        </w:rPr>
      </w:pPr>
      <w:r w:rsidRPr="00BD5C66">
        <w:rPr>
          <w:rFonts w:ascii="Times New Roman" w:eastAsia="Times New Roman" w:hAnsi="Times New Roman"/>
          <w:color w:val="000000"/>
          <w:sz w:val="28"/>
          <w:szCs w:val="28"/>
        </w:rPr>
        <w:t xml:space="preserve">Приготовить микропрепарат для выявления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кишечных </w:t>
      </w:r>
      <w:r w:rsidRPr="00BD5C66">
        <w:rPr>
          <w:rFonts w:ascii="Times New Roman" w:eastAsia="Times New Roman" w:hAnsi="Times New Roman"/>
          <w:color w:val="000000"/>
          <w:sz w:val="28"/>
          <w:szCs w:val="28"/>
        </w:rPr>
        <w:t>паразитов в кале.</w:t>
      </w:r>
    </w:p>
    <w:p w:rsidR="00B46192" w:rsidRPr="00457791" w:rsidRDefault="00B46192" w:rsidP="000C79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360" w:lineRule="auto"/>
        <w:ind w:left="714" w:right="147" w:hanging="357"/>
        <w:jc w:val="both"/>
        <w:rPr>
          <w:rFonts w:ascii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Приготовить необходимое количество мазков крови для выявления малярийных плазмодиев.</w:t>
      </w:r>
    </w:p>
    <w:p w:rsidR="00B46192" w:rsidRDefault="00B46192" w:rsidP="000C79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360" w:lineRule="auto"/>
        <w:ind w:left="714" w:right="14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определение заданного биохимического показателя методом по конечной точке на полуавтоматическом анализаторе в </w:t>
      </w:r>
      <w:r w:rsidRPr="00FA68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исследуемом образце.</w:t>
      </w:r>
    </w:p>
    <w:p w:rsidR="00B46192" w:rsidRPr="00457791" w:rsidRDefault="00B46192" w:rsidP="00FA68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:rsidR="00457791" w:rsidRDefault="00457791" w:rsidP="004577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письменные работы выполняются четко и разборчиво. Предоставление как чистовых, так и черновых материалов является обязательным, каждый лист должен быть подписан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:rsidR="00FA68B8" w:rsidRPr="00FA68B8" w:rsidRDefault="00FA68B8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192" w:rsidRPr="00457791" w:rsidRDefault="00B46192" w:rsidP="00FA68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непосредственно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:rsidR="00B46192" w:rsidRPr="009E6D16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выполнения задания по приготовлению препарата </w:t>
      </w:r>
      <w:r w:rsidR="007A736C"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кала </w:t>
      </w:r>
      <w:r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биологический материал можно заменить на имитацию.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Кровь для приготовления </w:t>
      </w:r>
      <w:r w:rsidR="009E6D16"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препаратов</w:t>
      </w:r>
      <w:r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доставляется заранее из клинико-диагностической лаборатории медицинской организации с сопроводительной документацией о том, что данный образец крови не представляет инфекционную опасность. Допускается имитация биологического материала.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биохимического исследования необходимы наборы реагентов, мультикалибратор, контрольная сыворотка «Норма», контрольная сыворотка «Патология». Выполнение задания провести в соответствии с инструкцией.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Модуль В.</w:t>
      </w:r>
      <w:r w:rsidR="008614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Выполнение микробиологических лабораторных исследований первой и второй категории 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(вариатив)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="007A736C"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B46192" w:rsidRPr="001760D5" w:rsidRDefault="00B46192" w:rsidP="000C79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</w:t>
      </w:r>
      <w:r w:rsidR="001760D5"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пробоподготовку почвы, с последующим</w:t>
      </w:r>
      <w:r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посев</w:t>
      </w:r>
      <w:r w:rsidR="001760D5"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выявление БГКП</w:t>
      </w:r>
      <w:r w:rsidR="001760D5"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>, сальмонелл и протея</w:t>
      </w:r>
      <w:r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68B8" w:rsidRPr="00457791" w:rsidRDefault="00FA68B8" w:rsidP="00FA68B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color w:val="000000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оформлению письменных материалов</w:t>
      </w:r>
    </w:p>
    <w:p w:rsidR="00FF13F0" w:rsidRPr="00457791" w:rsidRDefault="00FF13F0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письменные работы выполняются четко и разборчиво. Предоставление как чистовых, так и черновых материалов является обязательным</w:t>
      </w:r>
      <w:r w:rsidR="00457791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лист должен быть подписан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:rsidR="00FA68B8" w:rsidRDefault="00FA68B8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непосредственно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:rsidR="00B46192" w:rsidRDefault="00F62CD3" w:rsidP="00F62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посева организаторы площадки заранее подготавливают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питательные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2CD3" w:rsidRPr="00457791" w:rsidRDefault="00F62CD3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Модуль Г.</w:t>
      </w:r>
      <w:r w:rsidR="008614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Выполнение морфологических лабораторных исследований первой и второй категории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(инвариант)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30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B46192" w:rsidRPr="00457791" w:rsidRDefault="00B46192" w:rsidP="000C79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микроскопическое исследование 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гематологических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мазк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крови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подсчета лейкоцитарной формулы и ретикулоцитов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0C79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микроскопическое исследование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микробиологическ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препарат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0C79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микроскопическое исследование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гистологическ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препарат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:rsidR="00FF13F0" w:rsidRPr="00457791" w:rsidRDefault="00FF13F0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письменные работы выполняются четко и разборчиво. Предоставление как чистовых, так и черновых материалов является обязательным</w:t>
      </w:r>
      <w:r w:rsidR="00457791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лист должен быть подписан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:rsidR="00B46192" w:rsidRPr="00457791" w:rsidRDefault="00B46192" w:rsidP="00457791">
      <w:pPr>
        <w:spacing w:after="0" w:line="360" w:lineRule="auto"/>
        <w:ind w:left="285"/>
        <w:rPr>
          <w:rFonts w:ascii="Times New Roman" w:hAnsi="Times New Roman" w:cs="Times New Roman"/>
          <w:b/>
          <w:sz w:val="24"/>
          <w:szCs w:val="24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предоставляются экспертам после выполнения задания непосредственно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Микроскопия является обязательным при выполнении лабораторных исследований, поэтому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предоставляются окрашенные препараты (на усмотрение организатора), заранее приготовленные независимыми компетентными специалистами лабораторной диагностики. Препараты предоставляются в запечатанных конвертах. Конверты вскрываются непосредственно перед микроскопией в присутствии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экспертов. Вложенные эталоны ответов передаются Главному эксперту, препараты –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 Бланки для микроскопии составляются и распечатываются организаторами площадки.</w:t>
      </w:r>
    </w:p>
    <w:p w:rsidR="00B46192" w:rsidRPr="00457791" w:rsidRDefault="00B46192" w:rsidP="00457791">
      <w:pPr>
        <w:tabs>
          <w:tab w:val="left" w:pos="157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Модуль Д.</w:t>
      </w:r>
      <w:r w:rsidR="008614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Выполнение санитарно-эпидемиологических исследований</w:t>
      </w:r>
      <w:r w:rsidR="008614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(вариатив)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="008614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699A"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B46192" w:rsidRPr="00457791" w:rsidRDefault="00B46192" w:rsidP="000C79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лабораторное санитарно-гигиеническое исследование</w:t>
      </w:r>
      <w:r w:rsidR="00FF13F0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молока.</w:t>
      </w:r>
    </w:p>
    <w:p w:rsidR="00FF13F0" w:rsidRPr="00457791" w:rsidRDefault="00FF13F0" w:rsidP="00457791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:rsidR="00457791" w:rsidRPr="00457791" w:rsidRDefault="00457791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письменные работы выполняются четко и разборчиво. Предоставление как чистовых, так и черновых материалов является обязательным, каждый лист должен быть подписан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непосредственно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Необходимые приложения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Бланки для санитарно-гигиенических исследований составляются заранее и предоставляются на столе расходных материалов.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Модуль Е.</w:t>
      </w:r>
      <w:r w:rsidR="008614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Выполнение лабораторных и инструментальных исследований при судебно-медицинских экспертиз (исследований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(вариатив).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минут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B46192" w:rsidRPr="00457791" w:rsidRDefault="00B46192" w:rsidP="000C79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PAS-окраску гистологического материала.</w:t>
      </w:r>
    </w:p>
    <w:p w:rsidR="00457791" w:rsidRPr="00457791" w:rsidRDefault="00457791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:rsidR="00B46192" w:rsidRPr="00457791" w:rsidRDefault="00FF13F0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письменные работы выполняются четко и разборчиво. Предоставление как чистовых, так и черновых материалов является обязательным</w:t>
      </w:r>
      <w:r w:rsidR="00457791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лист должен быть подписан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:rsidR="00457791" w:rsidRPr="00457791" w:rsidRDefault="00457791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непосредственно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:rsidR="00D079EC" w:rsidRDefault="00B46192" w:rsidP="00D079E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обеспечения объективности оценки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предоставляются</w:t>
      </w:r>
      <w:r w:rsidR="00861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неокрашенные гистологические срезы, заранее приготовленные независимыми компетентными специалистами лабораторной диагностики. </w:t>
      </w:r>
    </w:p>
    <w:p w:rsidR="00B46192" w:rsidRPr="00457791" w:rsidRDefault="00B46192" w:rsidP="00D079E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Срезы фиксируются на предметных стеклах, маркируются кодовым обозначением и упаковываются в индивидуальные герметичные контейнеры или запечатанные конверты, исключающие возможность предварительного ознакомления.</w:t>
      </w:r>
    </w:p>
    <w:p w:rsidR="00B46192" w:rsidRPr="00457791" w:rsidRDefault="00B46192" w:rsidP="004577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Контейнеры с препаратами вскрываются непосредственно перед началом выполнения задания в присутствии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эксперта.</w:t>
      </w:r>
    </w:p>
    <w:p w:rsidR="009E5BD9" w:rsidRPr="00457791" w:rsidRDefault="009E5BD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17132" w:rsidRPr="00457791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210478331"/>
      <w:r w:rsidRPr="00457791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457791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457791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3"/>
      </w:r>
      <w:bookmarkEnd w:id="12"/>
      <w:bookmarkEnd w:id="13"/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модули </w:t>
      </w:r>
      <w:r w:rsidR="00EC1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конкурсного задания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выполняются в представленных зонах, где воспроизводятся реальные направления в данной отрасли, а именно по проведению лабораторных общеклинических, гематологических, микробиологических, морфологических</w:t>
      </w:r>
      <w:r w:rsidR="00555EE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санитарно-эпидемиологических исследований</w:t>
      </w:r>
      <w:r w:rsidR="00555EE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исследований при производстве судебно-медицинских экспертиз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Конкурсное задание выполняется в следующих зонах: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9"/>
          <w:tab w:val="left" w:pos="6770"/>
          <w:tab w:val="left" w:pos="7180"/>
          <w:tab w:val="left" w:pos="8300"/>
          <w:tab w:val="left" w:pos="9545"/>
        </w:tabs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1 – Выполнение организационно-технических и базовых процедур при выполнении различных видов лабораторных исследований.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2 – Выполнение клинических лабораторных исследований первой и второй категории сложности.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3 – Выполнение микробиологических лабораторных исследований первой и второй категории сложности.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4 – Выполнение морфологических лабораторных исследований первой и второй категории сложности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5 – Выполнение санитарно-эпидемиологических исследований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6 – Выполнение лабораторных и инструментальных исследований при</w:t>
      </w:r>
      <w:r w:rsidR="00555EE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судебно-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медицинских экспертиз (исследований)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F9E" w:rsidRPr="00457791" w:rsidRDefault="009451F7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объективной и безопасной оценки профессиональных компетенций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каждому модулю предполагается отдельная зона выполнения задания.</w:t>
      </w:r>
      <w:r w:rsidR="00D76F9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планирования и выполнения работ может отличаться в зависимости от дня соревнования. Модули </w:t>
      </w:r>
      <w:r w:rsidR="00E3302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76F9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онкурсного задания имеют различную длительность. Она отображается в расписании. Допускается одновременное выполнение задания двумя или тремя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76F9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онкурсантами. Общее время на выполнение задания дня соответствует заданию.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некоторых этапов конкурсного задание предусматривает предварительный расчет, например, для приготовления дезинфицирующего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раствора необходимо рассчитать соотношение составляющих раствора. Если расчет произведен неверно, то конкурсант отстраняется от дальнейшего выполнения задания и пр</w:t>
      </w:r>
      <w:r w:rsidR="00AB44C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ступает к выполнению следующего(их) этапа(ов).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жеребьевкой два-три первых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чемпионата заходят на площадку и приступают к выполнению задания. По завершению времени, отведенного на выполнение задания конкурсанты меняются рабочими местами по часовой стрелке.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план рекомендуется составить таким образом, чтобы продолжительность работы экспертов на площадке не превышала нормы, установленные действующим законодательством. В случае необходимости превышения установленной продолжительности по объективным причинам, требуется согласование с экспертами, задействованными для работы на соответствующей площадке.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участия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онкурсантов определяется Главным экспертом перед началом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емпионата методом жеребьевки в присутствии всех экспертов. В дальнейшем осуществляется ротация на основе порядка, установленного для каждого модуля. Конкурсанты, ожидающие выполнения задания, не могут наблюдать за работой других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онкурсантов по своему модулю. Таким образом, исключается несправедливое преимущество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онкурсантов, выполняющих модуль не первыми. Все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онкурсанты находятся в комнате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онкурсантов на протяжении всего соревнования. Они могут выходить за пределы зоны компетенции в обеденный перерыв и для посещения зон других компетенций в установленное время (указано в графике) в сопровождении </w:t>
      </w:r>
      <w:r w:rsidR="005B1C68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волонтера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обеспечения последовательности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онкурсанты, ожидающие выполнения своего модуля, ожидают в специальном помещении на площадке соревнования. Во время ожидания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онкурсантам разрешается иметь при себе материалы для чтения, не связанные с их компетенцией. В случае выхода из зоны компетенции по любой причине для них предусмотрено сопровождение</w:t>
      </w:r>
      <w:r w:rsidR="005B1C68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волонтером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79EC" w:rsidRDefault="00D76F9E" w:rsidP="00D079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готовности каждой зоны для конкурсантов осуществляется накануне вечером каждого соревновательного дня.</w:t>
      </w:r>
    </w:p>
    <w:p w:rsidR="00D76F9E" w:rsidRPr="00457791" w:rsidRDefault="00D76F9E" w:rsidP="00D079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каждой зоне строится согласно плану проведения чемпионата по компетенции.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Ежедневно назначается Эксперт для проверки соблюдения норм охраны труда, техники безопасности и охраны окружающей среды. При нарушении данных пунктов во время выполнения задания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онкурсант не может продолжать его дальнейшее проведение.</w:t>
      </w:r>
    </w:p>
    <w:p w:rsidR="00D76F9E" w:rsidRPr="00457791" w:rsidRDefault="00D76F9E" w:rsidP="00BF0B92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color w:val="000000"/>
        </w:rPr>
      </w:pPr>
      <w:bookmarkStart w:id="14" w:name="_Toc78885659"/>
    </w:p>
    <w:p w:rsidR="00E15F2A" w:rsidRPr="00457791" w:rsidRDefault="00A11569" w:rsidP="00BF0B92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5" w:name="_Toc210478332"/>
      <w:r w:rsidRPr="00457791">
        <w:rPr>
          <w:rFonts w:ascii="Times New Roman" w:hAnsi="Times New Roman"/>
          <w:color w:val="000000"/>
        </w:rPr>
        <w:t>2</w:t>
      </w:r>
      <w:r w:rsidR="00FB022D" w:rsidRPr="00457791">
        <w:rPr>
          <w:rFonts w:ascii="Times New Roman" w:hAnsi="Times New Roman"/>
          <w:color w:val="000000"/>
        </w:rPr>
        <w:t>.</w:t>
      </w:r>
      <w:r w:rsidRPr="00457791">
        <w:rPr>
          <w:rFonts w:ascii="Times New Roman" w:hAnsi="Times New Roman"/>
          <w:color w:val="000000"/>
        </w:rPr>
        <w:t>1</w:t>
      </w:r>
      <w:r w:rsidR="00FB022D" w:rsidRPr="00457791">
        <w:rPr>
          <w:rFonts w:ascii="Times New Roman" w:hAnsi="Times New Roman"/>
          <w:color w:val="000000"/>
        </w:rPr>
        <w:t xml:space="preserve">. </w:t>
      </w:r>
      <w:bookmarkEnd w:id="14"/>
      <w:r w:rsidRPr="00457791">
        <w:rPr>
          <w:rFonts w:ascii="Times New Roman" w:hAnsi="Times New Roman"/>
        </w:rPr>
        <w:t>Личный инструмент конкурсанта</w:t>
      </w:r>
      <w:bookmarkEnd w:id="15"/>
    </w:p>
    <w:p w:rsidR="00E15F2A" w:rsidRPr="00457791" w:rsidRDefault="00E15F2A" w:rsidP="00BF0B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Нулевой </w:t>
      </w:r>
      <w:r w:rsidR="00D76F9E" w:rsidRPr="0045779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 нельзя ничего привозить.</w:t>
      </w:r>
    </w:p>
    <w:p w:rsidR="00D76F9E" w:rsidRPr="00457791" w:rsidRDefault="00D76F9E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6" w:name="_Toc78885660"/>
    </w:p>
    <w:p w:rsidR="00465470" w:rsidRPr="00457791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7" w:name="_Toc210478333"/>
      <w:r w:rsidRPr="00457791">
        <w:rPr>
          <w:rFonts w:ascii="Times New Roman" w:hAnsi="Times New Roman"/>
        </w:rPr>
        <w:t>2</w:t>
      </w:r>
      <w:r w:rsidR="00FB022D" w:rsidRPr="00457791">
        <w:rPr>
          <w:rFonts w:ascii="Times New Roman" w:hAnsi="Times New Roman"/>
        </w:rPr>
        <w:t>.2.</w:t>
      </w:r>
      <w:r w:rsidR="00E15F2A" w:rsidRPr="00457791">
        <w:rPr>
          <w:rFonts w:ascii="Times New Roman" w:hAnsi="Times New Roman"/>
        </w:rPr>
        <w:t>Материалы, оборудование и инструменты,</w:t>
      </w:r>
      <w:bookmarkEnd w:id="17"/>
    </w:p>
    <w:p w:rsidR="00E15F2A" w:rsidRPr="00457791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8" w:name="_Toc210478334"/>
      <w:r w:rsidRPr="00457791">
        <w:rPr>
          <w:rFonts w:ascii="Times New Roman" w:hAnsi="Times New Roman"/>
        </w:rPr>
        <w:t>запрещенные на площадке</w:t>
      </w:r>
      <w:bookmarkEnd w:id="16"/>
      <w:bookmarkEnd w:id="18"/>
    </w:p>
    <w:p w:rsidR="00D76F9E" w:rsidRPr="002D4B84" w:rsidRDefault="002D4B84" w:rsidP="002D4B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B84">
        <w:rPr>
          <w:rFonts w:ascii="Times New Roman" w:eastAsia="Times New Roman" w:hAnsi="Times New Roman" w:cs="Times New Roman"/>
          <w:sz w:val="28"/>
          <w:szCs w:val="28"/>
        </w:rPr>
        <w:t>2.2.1. Конкурсная площадка</w:t>
      </w:r>
    </w:p>
    <w:p w:rsidR="00D76F9E" w:rsidRPr="002D4B84" w:rsidRDefault="00D76F9E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t>профессиональные стандарты, за исключением специально предоставленных им алгоритмов проведения лабораторных исследований;</w:t>
      </w:r>
    </w:p>
    <w:p w:rsidR="00457791" w:rsidRPr="002D4B84" w:rsidRDefault="00457791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t>устройства передающие, принимающие и хранящие информацию;</w:t>
      </w:r>
    </w:p>
    <w:p w:rsidR="00D76F9E" w:rsidRPr="002D4B84" w:rsidRDefault="00D76F9E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t>еда;</w:t>
      </w:r>
    </w:p>
    <w:p w:rsidR="002D4B84" w:rsidRPr="00C158D8" w:rsidRDefault="00D76F9E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58D8">
        <w:rPr>
          <w:rFonts w:ascii="Times New Roman" w:eastAsia="Times New Roman" w:hAnsi="Times New Roman"/>
          <w:sz w:val="28"/>
          <w:szCs w:val="28"/>
        </w:rPr>
        <w:t>личные вещи.</w:t>
      </w:r>
    </w:p>
    <w:p w:rsidR="002D4B84" w:rsidRPr="00C158D8" w:rsidRDefault="002D4B84" w:rsidP="002D4B8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58D8">
        <w:rPr>
          <w:rFonts w:ascii="Times New Roman" w:eastAsia="Times New Roman" w:hAnsi="Times New Roman"/>
          <w:sz w:val="28"/>
          <w:szCs w:val="28"/>
        </w:rPr>
        <w:t>2.2.2. Комната экспертов, сопровождающих и конкурсантов</w:t>
      </w:r>
    </w:p>
    <w:p w:rsidR="002D4B84" w:rsidRPr="00C158D8" w:rsidRDefault="002D4B84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58D8">
        <w:rPr>
          <w:rFonts w:ascii="Times New Roman" w:eastAsia="Times New Roman" w:hAnsi="Times New Roman"/>
          <w:sz w:val="28"/>
          <w:szCs w:val="28"/>
        </w:rPr>
        <w:t>медицинская литература (учебники, справочники, методические рекомендации, СанПин; ГОСТ)</w:t>
      </w:r>
      <w:r w:rsidR="00C158D8" w:rsidRPr="00C158D8">
        <w:rPr>
          <w:rFonts w:ascii="Times New Roman" w:eastAsia="Times New Roman" w:hAnsi="Times New Roman"/>
          <w:sz w:val="28"/>
          <w:szCs w:val="28"/>
        </w:rPr>
        <w:t>;</w:t>
      </w:r>
    </w:p>
    <w:p w:rsidR="002D4B84" w:rsidRPr="00C158D8" w:rsidRDefault="002D4B84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58D8">
        <w:rPr>
          <w:rFonts w:ascii="Times New Roman" w:eastAsia="Times New Roman" w:hAnsi="Times New Roman"/>
          <w:sz w:val="28"/>
          <w:szCs w:val="28"/>
        </w:rPr>
        <w:t xml:space="preserve">любые </w:t>
      </w:r>
      <w:r w:rsidR="00C158D8" w:rsidRPr="00C158D8">
        <w:rPr>
          <w:rFonts w:ascii="Times New Roman" w:eastAsia="Times New Roman" w:hAnsi="Times New Roman"/>
          <w:sz w:val="28"/>
          <w:szCs w:val="28"/>
        </w:rPr>
        <w:t>текстовые и графические материалы, связанные с конкурсным заданием;</w:t>
      </w:r>
    </w:p>
    <w:p w:rsidR="002D4B84" w:rsidRDefault="002D4B84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t>устройства передающие, принимающие и хранящие информацию</w:t>
      </w:r>
      <w:r w:rsidR="00C158D8">
        <w:rPr>
          <w:rFonts w:ascii="Times New Roman" w:eastAsia="Times New Roman" w:hAnsi="Times New Roman"/>
          <w:sz w:val="28"/>
          <w:szCs w:val="28"/>
        </w:rPr>
        <w:t>.</w:t>
      </w:r>
    </w:p>
    <w:p w:rsidR="00CA4DCE" w:rsidRDefault="00CA4DCE" w:rsidP="00CA4DCE">
      <w:pPr>
        <w:jc w:val="both"/>
        <w:rPr>
          <w:rFonts w:ascii="Times New Roman" w:hAnsi="Times New Roman" w:cs="Times New Roman"/>
          <w:sz w:val="28"/>
          <w:szCs w:val="28"/>
        </w:rPr>
      </w:pPr>
      <w:r w:rsidRPr="00CA4DCE">
        <w:rPr>
          <w:rFonts w:ascii="Times New Roman" w:eastAsia="Times New Roman" w:hAnsi="Times New Roman"/>
          <w:sz w:val="28"/>
          <w:szCs w:val="28"/>
        </w:rPr>
        <w:t>2.2.3.</w:t>
      </w:r>
      <w:r w:rsidRPr="000670C0">
        <w:rPr>
          <w:rFonts w:ascii="Times New Roman" w:hAnsi="Times New Roman" w:cs="Times New Roman"/>
          <w:sz w:val="28"/>
          <w:szCs w:val="28"/>
        </w:rPr>
        <w:t>Перечень штрафных баллов</w:t>
      </w:r>
    </w:p>
    <w:tbl>
      <w:tblPr>
        <w:tblStyle w:val="af"/>
        <w:tblW w:w="9493" w:type="dxa"/>
        <w:tblLook w:val="04A0"/>
      </w:tblPr>
      <w:tblGrid>
        <w:gridCol w:w="617"/>
        <w:gridCol w:w="4513"/>
        <w:gridCol w:w="4363"/>
      </w:tblGrid>
      <w:tr w:rsidR="00CA4DCE" w:rsidTr="005524CC">
        <w:tc>
          <w:tcPr>
            <w:tcW w:w="562" w:type="dxa"/>
          </w:tcPr>
          <w:p w:rsidR="00CA4DCE" w:rsidRPr="009A0509" w:rsidRDefault="00CA4DCE" w:rsidP="00A85A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5524CC"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536" w:type="dxa"/>
          </w:tcPr>
          <w:p w:rsidR="00CA4DCE" w:rsidRPr="009A0509" w:rsidRDefault="00CA4DCE" w:rsidP="00A85A96">
            <w:pPr>
              <w:jc w:val="center"/>
              <w:rPr>
                <w:b/>
                <w:sz w:val="28"/>
                <w:szCs w:val="28"/>
              </w:rPr>
            </w:pPr>
            <w:r w:rsidRPr="009A0509">
              <w:rPr>
                <w:b/>
                <w:sz w:val="28"/>
                <w:szCs w:val="28"/>
              </w:rPr>
              <w:t>Характер нарушений</w:t>
            </w:r>
          </w:p>
        </w:tc>
        <w:tc>
          <w:tcPr>
            <w:tcW w:w="4395" w:type="dxa"/>
          </w:tcPr>
          <w:p w:rsidR="00CA4DCE" w:rsidRPr="009A0509" w:rsidRDefault="00CA4DCE" w:rsidP="00A85A96">
            <w:pPr>
              <w:jc w:val="center"/>
              <w:rPr>
                <w:b/>
                <w:sz w:val="28"/>
                <w:szCs w:val="28"/>
              </w:rPr>
            </w:pPr>
            <w:r w:rsidRPr="009A0509">
              <w:rPr>
                <w:b/>
                <w:sz w:val="28"/>
                <w:szCs w:val="28"/>
              </w:rPr>
              <w:t>Штрафные баллы</w:t>
            </w:r>
          </w:p>
        </w:tc>
      </w:tr>
      <w:tr w:rsidR="00CA4DCE" w:rsidTr="005524CC">
        <w:tc>
          <w:tcPr>
            <w:tcW w:w="562" w:type="dxa"/>
          </w:tcPr>
          <w:p w:rsidR="00CA4DCE" w:rsidRDefault="00CA4DCE" w:rsidP="00A8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536" w:type="dxa"/>
          </w:tcPr>
          <w:p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внешнего вида профессиональным требованиям (ювелирные украшения на руках, часы, длина ногтей, чрезмерная косметика и пр.)</w:t>
            </w:r>
          </w:p>
        </w:tc>
        <w:tc>
          <w:tcPr>
            <w:tcW w:w="4395" w:type="dxa"/>
          </w:tcPr>
          <w:p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 0,5 балла за каждое нарушение</w:t>
            </w:r>
          </w:p>
        </w:tc>
      </w:tr>
      <w:tr w:rsidR="00CA4DCE" w:rsidTr="005524CC">
        <w:tc>
          <w:tcPr>
            <w:tcW w:w="562" w:type="dxa"/>
          </w:tcPr>
          <w:p w:rsidR="00CA4DCE" w:rsidRDefault="00CA4DCE" w:rsidP="00A8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Превышение временного интервала выполнения конкурсного задания</w:t>
            </w:r>
          </w:p>
        </w:tc>
        <w:tc>
          <w:tcPr>
            <w:tcW w:w="4395" w:type="dxa"/>
          </w:tcPr>
          <w:p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каждые 5 мин минус 0,5 балла до 10 мин</w:t>
            </w:r>
          </w:p>
        </w:tc>
      </w:tr>
      <w:tr w:rsidR="00CA4DCE" w:rsidTr="005524CC">
        <w:tc>
          <w:tcPr>
            <w:tcW w:w="562" w:type="dxa"/>
          </w:tcPr>
          <w:p w:rsidR="00CA4DCE" w:rsidRDefault="00CA4DCE" w:rsidP="00A8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Использования материалов на замену в случае утраты или порчи изначально предоставленного</w:t>
            </w:r>
          </w:p>
        </w:tc>
        <w:tc>
          <w:tcPr>
            <w:tcW w:w="4395" w:type="dxa"/>
          </w:tcPr>
          <w:p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Минус 0,2 - 0,5 балла </w:t>
            </w:r>
          </w:p>
        </w:tc>
      </w:tr>
      <w:tr w:rsidR="00CA4DCE" w:rsidTr="005524CC">
        <w:tc>
          <w:tcPr>
            <w:tcW w:w="562" w:type="dxa"/>
            <w:vMerge w:val="restart"/>
          </w:tcPr>
          <w:p w:rsidR="00CA4DCE" w:rsidRDefault="00CA4DCE" w:rsidP="00A8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CA4DCE" w:rsidRDefault="00CA4DCE" w:rsidP="00A85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A4DCE" w:rsidRPr="005C5DD7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ТБ и ОТ и, как следствие, создание аварийной ситуации на площадке</w:t>
            </w:r>
          </w:p>
        </w:tc>
        <w:tc>
          <w:tcPr>
            <w:tcW w:w="4395" w:type="dxa"/>
          </w:tcPr>
          <w:p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 1 балл за каждое нарушение</w:t>
            </w:r>
          </w:p>
        </w:tc>
      </w:tr>
      <w:tr w:rsidR="00CA4DCE" w:rsidTr="005524CC">
        <w:tc>
          <w:tcPr>
            <w:tcW w:w="562" w:type="dxa"/>
            <w:vMerge/>
          </w:tcPr>
          <w:p w:rsidR="00CA4DCE" w:rsidRDefault="00CA4DCE" w:rsidP="00A85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не на лотке</w:t>
            </w:r>
          </w:p>
        </w:tc>
        <w:tc>
          <w:tcPr>
            <w:tcW w:w="4395" w:type="dxa"/>
          </w:tcPr>
          <w:p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Минус 0,5 балла </w:t>
            </w:r>
          </w:p>
        </w:tc>
      </w:tr>
      <w:tr w:rsidR="00CA4DCE" w:rsidTr="005524CC">
        <w:tc>
          <w:tcPr>
            <w:tcW w:w="562" w:type="dxa"/>
          </w:tcPr>
          <w:p w:rsidR="00CA4DCE" w:rsidRDefault="00CA4DCE" w:rsidP="00A8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запрещенного оборудования на площадке, нарушение Кодекса Этики </w:t>
            </w:r>
          </w:p>
        </w:tc>
        <w:tc>
          <w:tcPr>
            <w:tcW w:w="4395" w:type="dxa"/>
          </w:tcPr>
          <w:p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 1 балл</w:t>
            </w:r>
          </w:p>
        </w:tc>
      </w:tr>
      <w:tr w:rsidR="00CA4DCE" w:rsidTr="005524CC">
        <w:tc>
          <w:tcPr>
            <w:tcW w:w="562" w:type="dxa"/>
          </w:tcPr>
          <w:p w:rsidR="00CA4DCE" w:rsidRDefault="00CA4DCE" w:rsidP="00A8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Нарушение Положения об этике </w:t>
            </w:r>
          </w:p>
        </w:tc>
        <w:tc>
          <w:tcPr>
            <w:tcW w:w="4395" w:type="dxa"/>
          </w:tcPr>
          <w:p w:rsidR="00CA4DCE" w:rsidRPr="00D770A4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Первичное – минус</w:t>
            </w:r>
            <w:r w:rsidRPr="00D770A4">
              <w:rPr>
                <w:sz w:val="28"/>
                <w:szCs w:val="28"/>
              </w:rPr>
              <w:t xml:space="preserve"> 1 балл</w:t>
            </w:r>
          </w:p>
          <w:p w:rsidR="00CA4DCE" w:rsidRPr="005C5DD7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Вторичное – удаление с площадки</w:t>
            </w:r>
          </w:p>
        </w:tc>
      </w:tr>
    </w:tbl>
    <w:p w:rsidR="00EC1885" w:rsidRDefault="00EC1885" w:rsidP="00CA4D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37579" w:rsidRPr="00457791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210478335"/>
      <w:r w:rsidRPr="00457791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457791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457791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:rsidR="00945E13" w:rsidRPr="00457791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457791">
        <w:rPr>
          <w:rFonts w:ascii="Times New Roman" w:hAnsi="Times New Roman" w:cs="Times New Roman"/>
          <w:sz w:val="28"/>
          <w:szCs w:val="28"/>
        </w:rPr>
        <w:t>1</w:t>
      </w:r>
      <w:r w:rsidR="00D96994" w:rsidRPr="00457791">
        <w:rPr>
          <w:rFonts w:ascii="Times New Roman" w:hAnsi="Times New Roman" w:cs="Times New Roman"/>
          <w:sz w:val="28"/>
          <w:szCs w:val="28"/>
        </w:rPr>
        <w:t>.</w:t>
      </w:r>
      <w:r w:rsidR="00945E13" w:rsidRPr="00457791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457791">
        <w:rPr>
          <w:rFonts w:ascii="Times New Roman" w:hAnsi="Times New Roman" w:cs="Times New Roman"/>
          <w:sz w:val="28"/>
          <w:szCs w:val="28"/>
        </w:rPr>
        <w:t>ого</w:t>
      </w:r>
      <w:r w:rsidR="00945E13" w:rsidRPr="0045779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457791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57791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457791">
        <w:rPr>
          <w:rFonts w:ascii="Times New Roman" w:hAnsi="Times New Roman" w:cs="Times New Roman"/>
          <w:sz w:val="28"/>
          <w:szCs w:val="28"/>
        </w:rPr>
        <w:t>.</w:t>
      </w:r>
      <w:r w:rsidR="00B37579" w:rsidRPr="00457791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457791">
        <w:rPr>
          <w:rFonts w:ascii="Times New Roman" w:hAnsi="Times New Roman" w:cs="Times New Roman"/>
          <w:sz w:val="28"/>
          <w:szCs w:val="28"/>
        </w:rPr>
        <w:t>ого</w:t>
      </w:r>
      <w:r w:rsidR="00B37579" w:rsidRPr="0045779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457791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457791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457791">
        <w:rPr>
          <w:rFonts w:ascii="Times New Roman" w:hAnsi="Times New Roman" w:cs="Times New Roman"/>
          <w:sz w:val="28"/>
          <w:szCs w:val="28"/>
        </w:rPr>
        <w:t>3.</w:t>
      </w:r>
      <w:r w:rsidR="00A11569" w:rsidRPr="00457791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457791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AF76EA" w:rsidRPr="00457791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RPr="00457791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AAC" w:rsidRDefault="00D86AAC" w:rsidP="00970F49">
      <w:pPr>
        <w:spacing w:after="0" w:line="240" w:lineRule="auto"/>
      </w:pPr>
      <w:r>
        <w:separator/>
      </w:r>
    </w:p>
  </w:endnote>
  <w:endnote w:type="continuationSeparator" w:id="1">
    <w:p w:rsidR="00D86AAC" w:rsidRDefault="00D86AA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55C9" w:rsidRPr="00AF76EA" w:rsidRDefault="008955C9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AAC" w:rsidRDefault="00D86AAC" w:rsidP="00970F49">
      <w:pPr>
        <w:spacing w:after="0" w:line="240" w:lineRule="auto"/>
      </w:pPr>
      <w:r>
        <w:separator/>
      </w:r>
    </w:p>
  </w:footnote>
  <w:footnote w:type="continuationSeparator" w:id="1">
    <w:p w:rsidR="00D86AAC" w:rsidRDefault="00D86AAC" w:rsidP="00970F49">
      <w:pPr>
        <w:spacing w:after="0" w:line="240" w:lineRule="auto"/>
      </w:pPr>
      <w:r>
        <w:continuationSeparator/>
      </w:r>
    </w:p>
  </w:footnote>
  <w:footnote w:id="2">
    <w:p w:rsidR="008955C9" w:rsidRDefault="008955C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3">
    <w:p w:rsidR="008955C9" w:rsidRDefault="008955C9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00EA"/>
    <w:multiLevelType w:val="hybridMultilevel"/>
    <w:tmpl w:val="6134A28E"/>
    <w:lvl w:ilvl="0" w:tplc="DE4EEE22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>
    <w:nsid w:val="13C75E85"/>
    <w:multiLevelType w:val="multilevel"/>
    <w:tmpl w:val="CF34AFE2"/>
    <w:lvl w:ilvl="0">
      <w:start w:val="1"/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701378"/>
    <w:multiLevelType w:val="multilevel"/>
    <w:tmpl w:val="4E08FA50"/>
    <w:lvl w:ilvl="0">
      <w:start w:val="1"/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992D3B"/>
    <w:multiLevelType w:val="multilevel"/>
    <w:tmpl w:val="D9A666D0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972D72"/>
    <w:multiLevelType w:val="multilevel"/>
    <w:tmpl w:val="7414BE32"/>
    <w:lvl w:ilvl="0">
      <w:start w:val="1"/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E967A3D"/>
    <w:multiLevelType w:val="multilevel"/>
    <w:tmpl w:val="7736F8C6"/>
    <w:lvl w:ilvl="0">
      <w:start w:val="1"/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0671EEA"/>
    <w:multiLevelType w:val="multilevel"/>
    <w:tmpl w:val="4672153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8549C"/>
    <w:multiLevelType w:val="hybridMultilevel"/>
    <w:tmpl w:val="34003DC2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3FFA234E"/>
    <w:multiLevelType w:val="hybridMultilevel"/>
    <w:tmpl w:val="4DF65434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>
    <w:nsid w:val="48DA08D8"/>
    <w:multiLevelType w:val="multilevel"/>
    <w:tmpl w:val="D0943A46"/>
    <w:lvl w:ilvl="0">
      <w:start w:val="1"/>
      <w:numFmt w:val="decimal"/>
      <w:lvlText w:val="%1."/>
      <w:lvlJc w:val="left"/>
      <w:pPr>
        <w:ind w:left="993" w:hanging="708"/>
      </w:pPr>
    </w:lvl>
    <w:lvl w:ilvl="1">
      <w:start w:val="1"/>
      <w:numFmt w:val="decimal"/>
      <w:lvlText w:val="%2."/>
      <w:lvlJc w:val="left"/>
      <w:pPr>
        <w:ind w:left="2161" w:hanging="213"/>
      </w:pPr>
      <w:rPr>
        <w:rFonts w:ascii="Times New Roman" w:eastAsia="Times New Roman" w:hAnsi="Times New Roman" w:cs="Times New Roman"/>
        <w:b/>
        <w:i w:val="0"/>
        <w:sz w:val="26"/>
        <w:szCs w:val="26"/>
      </w:rPr>
    </w:lvl>
    <w:lvl w:ilvl="2">
      <w:start w:val="1"/>
      <w:numFmt w:val="decimal"/>
      <w:lvlText w:val="%2.%3."/>
      <w:lvlJc w:val="left"/>
      <w:pPr>
        <w:ind w:left="1413" w:hanging="419"/>
      </w:pPr>
    </w:lvl>
    <w:lvl w:ilvl="3">
      <w:start w:val="1"/>
      <w:numFmt w:val="decimal"/>
      <w:lvlText w:val="%2.%3.%4."/>
      <w:lvlJc w:val="left"/>
      <w:pPr>
        <w:ind w:left="285" w:hanging="598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85" w:hanging="286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5">
      <w:numFmt w:val="bullet"/>
      <w:lvlText w:val="•"/>
      <w:lvlJc w:val="left"/>
      <w:pPr>
        <w:ind w:left="4418" w:hanging="286"/>
      </w:pPr>
    </w:lvl>
    <w:lvl w:ilvl="6">
      <w:numFmt w:val="bullet"/>
      <w:lvlText w:val="•"/>
      <w:lvlJc w:val="left"/>
      <w:pPr>
        <w:ind w:left="5548" w:hanging="286"/>
      </w:pPr>
    </w:lvl>
    <w:lvl w:ilvl="7">
      <w:numFmt w:val="bullet"/>
      <w:lvlText w:val="•"/>
      <w:lvlJc w:val="left"/>
      <w:pPr>
        <w:ind w:left="6677" w:hanging="286"/>
      </w:pPr>
    </w:lvl>
    <w:lvl w:ilvl="8">
      <w:numFmt w:val="bullet"/>
      <w:lvlText w:val="•"/>
      <w:lvlJc w:val="left"/>
      <w:pPr>
        <w:ind w:left="7806" w:hanging="286"/>
      </w:pPr>
    </w:lvl>
  </w:abstractNum>
  <w:abstractNum w:abstractNumId="13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DA73D9"/>
    <w:multiLevelType w:val="hybridMultilevel"/>
    <w:tmpl w:val="55F4E568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>
    <w:nsid w:val="4AF011C9"/>
    <w:multiLevelType w:val="hybridMultilevel"/>
    <w:tmpl w:val="FC9C7A24"/>
    <w:lvl w:ilvl="0" w:tplc="9DD0BD1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2639AB"/>
    <w:multiLevelType w:val="hybridMultilevel"/>
    <w:tmpl w:val="097E897C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F95AD6"/>
    <w:multiLevelType w:val="hybridMultilevel"/>
    <w:tmpl w:val="782481AA"/>
    <w:lvl w:ilvl="0" w:tplc="D0AE5512">
      <w:start w:val="1"/>
      <w:numFmt w:val="bullet"/>
      <w:lvlText w:val="‒"/>
      <w:lvlJc w:val="left"/>
      <w:pPr>
        <w:ind w:left="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>
    <w:nsid w:val="5DBD7216"/>
    <w:multiLevelType w:val="hybridMultilevel"/>
    <w:tmpl w:val="2FE25A8A"/>
    <w:lvl w:ilvl="0" w:tplc="DE4EEE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0">
    <w:nsid w:val="5EE535BF"/>
    <w:multiLevelType w:val="hybridMultilevel"/>
    <w:tmpl w:val="58227E56"/>
    <w:lvl w:ilvl="0" w:tplc="DE4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8499E"/>
    <w:multiLevelType w:val="hybridMultilevel"/>
    <w:tmpl w:val="13367520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>
    <w:nsid w:val="68735F13"/>
    <w:multiLevelType w:val="multilevel"/>
    <w:tmpl w:val="A1F83D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B6FE7"/>
    <w:multiLevelType w:val="multilevel"/>
    <w:tmpl w:val="4854468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C559C"/>
    <w:multiLevelType w:val="hybridMultilevel"/>
    <w:tmpl w:val="2684F97A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>
    <w:nsid w:val="7CB638BA"/>
    <w:multiLevelType w:val="hybridMultilevel"/>
    <w:tmpl w:val="0390F97E"/>
    <w:lvl w:ilvl="0" w:tplc="DE4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E7EEF"/>
    <w:multiLevelType w:val="multilevel"/>
    <w:tmpl w:val="B33ECB92"/>
    <w:lvl w:ilvl="0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6" w:hanging="360"/>
      </w:pPr>
    </w:lvl>
    <w:lvl w:ilvl="2">
      <w:numFmt w:val="bullet"/>
      <w:lvlText w:val="•"/>
      <w:lvlJc w:val="left"/>
      <w:pPr>
        <w:ind w:left="2813" w:hanging="360"/>
      </w:pPr>
    </w:lvl>
    <w:lvl w:ilvl="3">
      <w:numFmt w:val="bullet"/>
      <w:lvlText w:val="•"/>
      <w:lvlJc w:val="left"/>
      <w:pPr>
        <w:ind w:left="3719" w:hanging="360"/>
      </w:pPr>
    </w:lvl>
    <w:lvl w:ilvl="4">
      <w:numFmt w:val="bullet"/>
      <w:lvlText w:val="•"/>
      <w:lvlJc w:val="left"/>
      <w:pPr>
        <w:ind w:left="4626" w:hanging="360"/>
      </w:pPr>
    </w:lvl>
    <w:lvl w:ilvl="5">
      <w:numFmt w:val="bullet"/>
      <w:lvlText w:val="•"/>
      <w:lvlJc w:val="left"/>
      <w:pPr>
        <w:ind w:left="5532" w:hanging="360"/>
      </w:pPr>
    </w:lvl>
    <w:lvl w:ilvl="6">
      <w:numFmt w:val="bullet"/>
      <w:lvlText w:val="•"/>
      <w:lvlJc w:val="left"/>
      <w:pPr>
        <w:ind w:left="6439" w:hanging="360"/>
      </w:pPr>
    </w:lvl>
    <w:lvl w:ilvl="7">
      <w:numFmt w:val="bullet"/>
      <w:lvlText w:val="•"/>
      <w:lvlJc w:val="left"/>
      <w:pPr>
        <w:ind w:left="7345" w:hanging="360"/>
      </w:pPr>
    </w:lvl>
    <w:lvl w:ilvl="8">
      <w:numFmt w:val="bullet"/>
      <w:lvlText w:val="•"/>
      <w:lvlJc w:val="left"/>
      <w:pPr>
        <w:ind w:left="8252" w:hanging="360"/>
      </w:pPr>
    </w:lvl>
  </w:abstractNum>
  <w:abstractNum w:abstractNumId="27">
    <w:nsid w:val="7FBF1CDB"/>
    <w:multiLevelType w:val="hybridMultilevel"/>
    <w:tmpl w:val="870072EC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2"/>
  </w:num>
  <w:num w:numId="5">
    <w:abstractNumId w:val="17"/>
  </w:num>
  <w:num w:numId="6">
    <w:abstractNumId w:val="12"/>
  </w:num>
  <w:num w:numId="7">
    <w:abstractNumId w:val="26"/>
  </w:num>
  <w:num w:numId="8">
    <w:abstractNumId w:val="22"/>
  </w:num>
  <w:num w:numId="9">
    <w:abstractNumId w:val="6"/>
  </w:num>
  <w:num w:numId="10">
    <w:abstractNumId w:val="23"/>
  </w:num>
  <w:num w:numId="11">
    <w:abstractNumId w:val="9"/>
  </w:num>
  <w:num w:numId="12">
    <w:abstractNumId w:val="15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0"/>
  </w:num>
  <w:num w:numId="18">
    <w:abstractNumId w:val="14"/>
  </w:num>
  <w:num w:numId="19">
    <w:abstractNumId w:val="24"/>
  </w:num>
  <w:num w:numId="20">
    <w:abstractNumId w:val="19"/>
  </w:num>
  <w:num w:numId="21">
    <w:abstractNumId w:val="21"/>
  </w:num>
  <w:num w:numId="22">
    <w:abstractNumId w:val="27"/>
  </w:num>
  <w:num w:numId="23">
    <w:abstractNumId w:val="11"/>
  </w:num>
  <w:num w:numId="24">
    <w:abstractNumId w:val="16"/>
  </w:num>
  <w:num w:numId="25">
    <w:abstractNumId w:val="0"/>
  </w:num>
  <w:num w:numId="26">
    <w:abstractNumId w:val="20"/>
  </w:num>
  <w:num w:numId="27">
    <w:abstractNumId w:val="25"/>
  </w:num>
  <w:num w:numId="28">
    <w:abstractNumId w:val="1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150CA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B37"/>
    <w:rsid w:val="00081D65"/>
    <w:rsid w:val="00086FAC"/>
    <w:rsid w:val="000A1F96"/>
    <w:rsid w:val="000B1830"/>
    <w:rsid w:val="000B3397"/>
    <w:rsid w:val="000B47A0"/>
    <w:rsid w:val="000B55A2"/>
    <w:rsid w:val="000C2FBF"/>
    <w:rsid w:val="000C797A"/>
    <w:rsid w:val="000D258B"/>
    <w:rsid w:val="000D43CC"/>
    <w:rsid w:val="000D4C46"/>
    <w:rsid w:val="000D74AA"/>
    <w:rsid w:val="000E4E4E"/>
    <w:rsid w:val="000F0FC3"/>
    <w:rsid w:val="000F417C"/>
    <w:rsid w:val="000F76C8"/>
    <w:rsid w:val="00100FE1"/>
    <w:rsid w:val="001024BE"/>
    <w:rsid w:val="00106738"/>
    <w:rsid w:val="00114D79"/>
    <w:rsid w:val="00121AD2"/>
    <w:rsid w:val="001229E8"/>
    <w:rsid w:val="00127743"/>
    <w:rsid w:val="001307B6"/>
    <w:rsid w:val="00137545"/>
    <w:rsid w:val="00154755"/>
    <w:rsid w:val="0015561E"/>
    <w:rsid w:val="001627D5"/>
    <w:rsid w:val="00166886"/>
    <w:rsid w:val="001746CF"/>
    <w:rsid w:val="001760D5"/>
    <w:rsid w:val="0017612A"/>
    <w:rsid w:val="001A2793"/>
    <w:rsid w:val="001A67E0"/>
    <w:rsid w:val="001B1F20"/>
    <w:rsid w:val="001B4B65"/>
    <w:rsid w:val="001B6674"/>
    <w:rsid w:val="001C1282"/>
    <w:rsid w:val="001C40EA"/>
    <w:rsid w:val="001C5AA7"/>
    <w:rsid w:val="001C63E7"/>
    <w:rsid w:val="001D0C0F"/>
    <w:rsid w:val="001D2ACC"/>
    <w:rsid w:val="001E1DF9"/>
    <w:rsid w:val="001E57A2"/>
    <w:rsid w:val="00207E02"/>
    <w:rsid w:val="00213AF8"/>
    <w:rsid w:val="00220BE8"/>
    <w:rsid w:val="00220E70"/>
    <w:rsid w:val="002228E8"/>
    <w:rsid w:val="00230427"/>
    <w:rsid w:val="0023352F"/>
    <w:rsid w:val="00233B9C"/>
    <w:rsid w:val="002374B5"/>
    <w:rsid w:val="00237603"/>
    <w:rsid w:val="00243ADE"/>
    <w:rsid w:val="00245F15"/>
    <w:rsid w:val="00247E8C"/>
    <w:rsid w:val="00252249"/>
    <w:rsid w:val="00270E01"/>
    <w:rsid w:val="002776A1"/>
    <w:rsid w:val="002834FF"/>
    <w:rsid w:val="0029547E"/>
    <w:rsid w:val="002A2935"/>
    <w:rsid w:val="002B087C"/>
    <w:rsid w:val="002B1426"/>
    <w:rsid w:val="002B3DBB"/>
    <w:rsid w:val="002D4B84"/>
    <w:rsid w:val="002F01F4"/>
    <w:rsid w:val="002F2906"/>
    <w:rsid w:val="00314C37"/>
    <w:rsid w:val="0032065E"/>
    <w:rsid w:val="003242E1"/>
    <w:rsid w:val="00332443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341C"/>
    <w:rsid w:val="003C4854"/>
    <w:rsid w:val="003C5F97"/>
    <w:rsid w:val="003D1E51"/>
    <w:rsid w:val="003D589E"/>
    <w:rsid w:val="00406E3F"/>
    <w:rsid w:val="004254FE"/>
    <w:rsid w:val="00436FFC"/>
    <w:rsid w:val="00437D28"/>
    <w:rsid w:val="0044354A"/>
    <w:rsid w:val="00454353"/>
    <w:rsid w:val="00457791"/>
    <w:rsid w:val="00461AC6"/>
    <w:rsid w:val="00465470"/>
    <w:rsid w:val="0046699A"/>
    <w:rsid w:val="00472599"/>
    <w:rsid w:val="004730AA"/>
    <w:rsid w:val="00473C4A"/>
    <w:rsid w:val="0047429B"/>
    <w:rsid w:val="004837A7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3BD7"/>
    <w:rsid w:val="00502F9A"/>
    <w:rsid w:val="005055FF"/>
    <w:rsid w:val="00510059"/>
    <w:rsid w:val="005278C4"/>
    <w:rsid w:val="0054079D"/>
    <w:rsid w:val="005524CC"/>
    <w:rsid w:val="00554CBB"/>
    <w:rsid w:val="00555EEE"/>
    <w:rsid w:val="005560AC"/>
    <w:rsid w:val="00557CC0"/>
    <w:rsid w:val="00561024"/>
    <w:rsid w:val="0056194A"/>
    <w:rsid w:val="00565B7C"/>
    <w:rsid w:val="00567CC6"/>
    <w:rsid w:val="005A1625"/>
    <w:rsid w:val="005A203B"/>
    <w:rsid w:val="005B02A6"/>
    <w:rsid w:val="005B05D5"/>
    <w:rsid w:val="005B0DEC"/>
    <w:rsid w:val="005B1C68"/>
    <w:rsid w:val="005B66FC"/>
    <w:rsid w:val="005C6A23"/>
    <w:rsid w:val="005D7FEA"/>
    <w:rsid w:val="005E30DC"/>
    <w:rsid w:val="00605DD7"/>
    <w:rsid w:val="0060658F"/>
    <w:rsid w:val="00611FC6"/>
    <w:rsid w:val="00613219"/>
    <w:rsid w:val="0061643B"/>
    <w:rsid w:val="00626EE5"/>
    <w:rsid w:val="0062789A"/>
    <w:rsid w:val="0063396F"/>
    <w:rsid w:val="00640CEB"/>
    <w:rsid w:val="00640E46"/>
    <w:rsid w:val="0064179C"/>
    <w:rsid w:val="00643A8A"/>
    <w:rsid w:val="0064491A"/>
    <w:rsid w:val="00653B50"/>
    <w:rsid w:val="00666BDD"/>
    <w:rsid w:val="006776B4"/>
    <w:rsid w:val="00685B92"/>
    <w:rsid w:val="006873B8"/>
    <w:rsid w:val="006A4A2D"/>
    <w:rsid w:val="006A4EFB"/>
    <w:rsid w:val="006A6DAE"/>
    <w:rsid w:val="006B0FEA"/>
    <w:rsid w:val="006B4E1C"/>
    <w:rsid w:val="006C2B95"/>
    <w:rsid w:val="006C6D6D"/>
    <w:rsid w:val="006C7A3B"/>
    <w:rsid w:val="006C7CE4"/>
    <w:rsid w:val="006E3135"/>
    <w:rsid w:val="006E61AA"/>
    <w:rsid w:val="006F0017"/>
    <w:rsid w:val="006F2440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74BBE"/>
    <w:rsid w:val="0078311A"/>
    <w:rsid w:val="007840E8"/>
    <w:rsid w:val="00791D70"/>
    <w:rsid w:val="00794E4B"/>
    <w:rsid w:val="007A61C5"/>
    <w:rsid w:val="007A6888"/>
    <w:rsid w:val="007A736C"/>
    <w:rsid w:val="007B0DCC"/>
    <w:rsid w:val="007B2222"/>
    <w:rsid w:val="007B3FD5"/>
    <w:rsid w:val="007C3E4F"/>
    <w:rsid w:val="007D3601"/>
    <w:rsid w:val="007D6C20"/>
    <w:rsid w:val="007E73B4"/>
    <w:rsid w:val="008027C4"/>
    <w:rsid w:val="00812516"/>
    <w:rsid w:val="008137E5"/>
    <w:rsid w:val="00832EBB"/>
    <w:rsid w:val="0083361F"/>
    <w:rsid w:val="00834734"/>
    <w:rsid w:val="00835BF6"/>
    <w:rsid w:val="00852C04"/>
    <w:rsid w:val="0085550E"/>
    <w:rsid w:val="008614FC"/>
    <w:rsid w:val="008761F3"/>
    <w:rsid w:val="00877F5D"/>
    <w:rsid w:val="00881DD2"/>
    <w:rsid w:val="00882B54"/>
    <w:rsid w:val="008912AE"/>
    <w:rsid w:val="008934F5"/>
    <w:rsid w:val="00893E3C"/>
    <w:rsid w:val="008955C9"/>
    <w:rsid w:val="008B0F23"/>
    <w:rsid w:val="008B560B"/>
    <w:rsid w:val="008C41F7"/>
    <w:rsid w:val="008D458D"/>
    <w:rsid w:val="008D6DCF"/>
    <w:rsid w:val="008E1802"/>
    <w:rsid w:val="008E5424"/>
    <w:rsid w:val="00900604"/>
    <w:rsid w:val="00901145"/>
    <w:rsid w:val="00901689"/>
    <w:rsid w:val="009018F0"/>
    <w:rsid w:val="0090662E"/>
    <w:rsid w:val="00906E82"/>
    <w:rsid w:val="009203A8"/>
    <w:rsid w:val="00920A39"/>
    <w:rsid w:val="00937D4D"/>
    <w:rsid w:val="009440D0"/>
    <w:rsid w:val="009451F7"/>
    <w:rsid w:val="00945E13"/>
    <w:rsid w:val="00953113"/>
    <w:rsid w:val="00954B97"/>
    <w:rsid w:val="00955127"/>
    <w:rsid w:val="00956BC9"/>
    <w:rsid w:val="00961DA0"/>
    <w:rsid w:val="00963E7F"/>
    <w:rsid w:val="00964078"/>
    <w:rsid w:val="00970F49"/>
    <w:rsid w:val="009715DA"/>
    <w:rsid w:val="00976338"/>
    <w:rsid w:val="00986E2F"/>
    <w:rsid w:val="00992D9C"/>
    <w:rsid w:val="009931F0"/>
    <w:rsid w:val="00994541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E6D16"/>
    <w:rsid w:val="009F57C0"/>
    <w:rsid w:val="00A0510D"/>
    <w:rsid w:val="00A06FEB"/>
    <w:rsid w:val="00A11569"/>
    <w:rsid w:val="00A12259"/>
    <w:rsid w:val="00A16EBB"/>
    <w:rsid w:val="00A204BB"/>
    <w:rsid w:val="00A20A67"/>
    <w:rsid w:val="00A27EE4"/>
    <w:rsid w:val="00A36EE2"/>
    <w:rsid w:val="00A4187F"/>
    <w:rsid w:val="00A57976"/>
    <w:rsid w:val="00A636B8"/>
    <w:rsid w:val="00A6671B"/>
    <w:rsid w:val="00A705A3"/>
    <w:rsid w:val="00A779D4"/>
    <w:rsid w:val="00A8496D"/>
    <w:rsid w:val="00A85A96"/>
    <w:rsid w:val="00A85C43"/>
    <w:rsid w:val="00A85D42"/>
    <w:rsid w:val="00A87627"/>
    <w:rsid w:val="00A91D4B"/>
    <w:rsid w:val="00A962D4"/>
    <w:rsid w:val="00A9790B"/>
    <w:rsid w:val="00AA2B8A"/>
    <w:rsid w:val="00AB44CF"/>
    <w:rsid w:val="00AD2200"/>
    <w:rsid w:val="00AE6AB7"/>
    <w:rsid w:val="00AE7A32"/>
    <w:rsid w:val="00AF76EA"/>
    <w:rsid w:val="00B040B1"/>
    <w:rsid w:val="00B162B5"/>
    <w:rsid w:val="00B206CB"/>
    <w:rsid w:val="00B236AD"/>
    <w:rsid w:val="00B2701E"/>
    <w:rsid w:val="00B30234"/>
    <w:rsid w:val="00B30A26"/>
    <w:rsid w:val="00B330F5"/>
    <w:rsid w:val="00B33456"/>
    <w:rsid w:val="00B3384D"/>
    <w:rsid w:val="00B34D67"/>
    <w:rsid w:val="00B37579"/>
    <w:rsid w:val="00B40FFB"/>
    <w:rsid w:val="00B4196F"/>
    <w:rsid w:val="00B45392"/>
    <w:rsid w:val="00B45AA4"/>
    <w:rsid w:val="00B46192"/>
    <w:rsid w:val="00B464E7"/>
    <w:rsid w:val="00B610A2"/>
    <w:rsid w:val="00B92EB7"/>
    <w:rsid w:val="00B95B16"/>
    <w:rsid w:val="00B97386"/>
    <w:rsid w:val="00BA2085"/>
    <w:rsid w:val="00BA2CF0"/>
    <w:rsid w:val="00BB4614"/>
    <w:rsid w:val="00BC3813"/>
    <w:rsid w:val="00BC6036"/>
    <w:rsid w:val="00BC7808"/>
    <w:rsid w:val="00BD5C66"/>
    <w:rsid w:val="00BE099A"/>
    <w:rsid w:val="00BE2ED0"/>
    <w:rsid w:val="00BF0B92"/>
    <w:rsid w:val="00BF503D"/>
    <w:rsid w:val="00C06EBC"/>
    <w:rsid w:val="00C0723F"/>
    <w:rsid w:val="00C121F9"/>
    <w:rsid w:val="00C158D8"/>
    <w:rsid w:val="00C17B01"/>
    <w:rsid w:val="00C21E3A"/>
    <w:rsid w:val="00C26C83"/>
    <w:rsid w:val="00C31CA1"/>
    <w:rsid w:val="00C34D0A"/>
    <w:rsid w:val="00C52383"/>
    <w:rsid w:val="00C56A9B"/>
    <w:rsid w:val="00C6741D"/>
    <w:rsid w:val="00C740CF"/>
    <w:rsid w:val="00C75A06"/>
    <w:rsid w:val="00C8277D"/>
    <w:rsid w:val="00C95538"/>
    <w:rsid w:val="00C96567"/>
    <w:rsid w:val="00C97E44"/>
    <w:rsid w:val="00CA2818"/>
    <w:rsid w:val="00CA4DCE"/>
    <w:rsid w:val="00CA6CCD"/>
    <w:rsid w:val="00CC50B7"/>
    <w:rsid w:val="00CD66EF"/>
    <w:rsid w:val="00CE2498"/>
    <w:rsid w:val="00CE36B8"/>
    <w:rsid w:val="00CE4150"/>
    <w:rsid w:val="00CF0DA9"/>
    <w:rsid w:val="00CF154C"/>
    <w:rsid w:val="00CF1FFD"/>
    <w:rsid w:val="00CF784D"/>
    <w:rsid w:val="00D02C00"/>
    <w:rsid w:val="00D0719B"/>
    <w:rsid w:val="00D079EC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405"/>
    <w:rsid w:val="00D617CC"/>
    <w:rsid w:val="00D63C29"/>
    <w:rsid w:val="00D76F9E"/>
    <w:rsid w:val="00D82186"/>
    <w:rsid w:val="00D83E4E"/>
    <w:rsid w:val="00D86AAC"/>
    <w:rsid w:val="00D87A1E"/>
    <w:rsid w:val="00D87F9F"/>
    <w:rsid w:val="00D96994"/>
    <w:rsid w:val="00DA1085"/>
    <w:rsid w:val="00DC5213"/>
    <w:rsid w:val="00DE39D8"/>
    <w:rsid w:val="00DE5614"/>
    <w:rsid w:val="00DF5F48"/>
    <w:rsid w:val="00E03D77"/>
    <w:rsid w:val="00E0407E"/>
    <w:rsid w:val="00E04FDF"/>
    <w:rsid w:val="00E15F2A"/>
    <w:rsid w:val="00E279E8"/>
    <w:rsid w:val="00E33022"/>
    <w:rsid w:val="00E41CEE"/>
    <w:rsid w:val="00E579D6"/>
    <w:rsid w:val="00E74081"/>
    <w:rsid w:val="00E74190"/>
    <w:rsid w:val="00E75567"/>
    <w:rsid w:val="00E75B9B"/>
    <w:rsid w:val="00E857D6"/>
    <w:rsid w:val="00EA0163"/>
    <w:rsid w:val="00EA0C3A"/>
    <w:rsid w:val="00EA30C6"/>
    <w:rsid w:val="00EB2779"/>
    <w:rsid w:val="00EB4FF8"/>
    <w:rsid w:val="00EC1885"/>
    <w:rsid w:val="00ED18F9"/>
    <w:rsid w:val="00ED53C9"/>
    <w:rsid w:val="00EE197A"/>
    <w:rsid w:val="00EE3411"/>
    <w:rsid w:val="00EE7DA3"/>
    <w:rsid w:val="00F10695"/>
    <w:rsid w:val="00F1662D"/>
    <w:rsid w:val="00F2750F"/>
    <w:rsid w:val="00F3099C"/>
    <w:rsid w:val="00F35F4F"/>
    <w:rsid w:val="00F50AC5"/>
    <w:rsid w:val="00F6025D"/>
    <w:rsid w:val="00F60A76"/>
    <w:rsid w:val="00F62CD3"/>
    <w:rsid w:val="00F64561"/>
    <w:rsid w:val="00F672B2"/>
    <w:rsid w:val="00F773D9"/>
    <w:rsid w:val="00F8340A"/>
    <w:rsid w:val="00F83D10"/>
    <w:rsid w:val="00F93643"/>
    <w:rsid w:val="00F96457"/>
    <w:rsid w:val="00FA68B8"/>
    <w:rsid w:val="00FB022D"/>
    <w:rsid w:val="00FB1F17"/>
    <w:rsid w:val="00FB3492"/>
    <w:rsid w:val="00FC415A"/>
    <w:rsid w:val="00FC50C5"/>
    <w:rsid w:val="00FC6098"/>
    <w:rsid w:val="00FC7520"/>
    <w:rsid w:val="00FD20DE"/>
    <w:rsid w:val="00FD4FE9"/>
    <w:rsid w:val="00FF1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77F5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BF0B92"/>
    <w:pPr>
      <w:spacing w:after="0" w:line="360" w:lineRule="auto"/>
      <w:ind w:right="-426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E654E-F16D-41AA-B7D3-E4B9FE9E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11359</Words>
  <Characters>64751</Characters>
  <Application>Microsoft Office Word</Application>
  <DocSecurity>0</DocSecurity>
  <Lines>539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student</cp:lastModifiedBy>
  <cp:revision>44</cp:revision>
  <cp:lastPrinted>2026-01-15T11:10:00Z</cp:lastPrinted>
  <dcterms:created xsi:type="dcterms:W3CDTF">2025-10-02T13:25:00Z</dcterms:created>
  <dcterms:modified xsi:type="dcterms:W3CDTF">2026-01-15T11:12:00Z</dcterms:modified>
</cp:coreProperties>
</file>