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bookmarkStart w:id="0" w:name="_GoBack"/>
      <w:bookmarkEnd w:id="0"/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53177C28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FE4868">
        <w:rPr>
          <w:rFonts w:eastAsia="Times New Roman" w:cs="Times New Roman"/>
          <w:color w:val="000000"/>
          <w:sz w:val="40"/>
          <w:szCs w:val="40"/>
        </w:rPr>
        <w:t>ИНТЕРНЕТ-МАРКЕТИНГ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3675BF7A" w14:textId="77777777" w:rsidR="004F59D9" w:rsidRPr="004F59D9" w:rsidRDefault="004F59D9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iCs/>
          <w:color w:val="000000"/>
          <w:sz w:val="36"/>
          <w:szCs w:val="36"/>
        </w:rPr>
      </w:pPr>
      <w:r w:rsidRPr="004F59D9">
        <w:rPr>
          <w:rFonts w:eastAsia="Times New Roman" w:cs="Times New Roman"/>
          <w:iCs/>
          <w:color w:val="000000"/>
          <w:sz w:val="36"/>
          <w:szCs w:val="36"/>
        </w:rPr>
        <w:t xml:space="preserve">Регионального этапа </w:t>
      </w:r>
    </w:p>
    <w:p w14:paraId="417850AC" w14:textId="48566BE3" w:rsidR="00584FB3" w:rsidRDefault="00584FB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65F84C6D" w14:textId="21C51E23" w:rsidR="00A74F0F" w:rsidRPr="003A5872" w:rsidRDefault="003A5872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 w:rsidRPr="003A5872">
        <w:rPr>
          <w:rFonts w:eastAsia="Times New Roman" w:cs="Times New Roman"/>
          <w:color w:val="000000"/>
          <w:sz w:val="36"/>
          <w:szCs w:val="36"/>
          <w:u w:val="single"/>
        </w:rPr>
        <w:t>Пензенская область</w:t>
      </w:r>
    </w:p>
    <w:p w14:paraId="3FBBB964" w14:textId="242BCAA4"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55955B75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FE4868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0855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0855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0855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0855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0855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0855D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7769AE0C" w14:textId="0BB41669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eastAsia="Times New Roman" w:cs="Times New Roman"/>
          <w:color w:val="000000"/>
          <w:sz w:val="28"/>
          <w:szCs w:val="28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Чемпионата по профессиональному мастерству «Профессионалы»</w:t>
      </w:r>
      <w:r w:rsidR="00AF7070">
        <w:rPr>
          <w:rFonts w:eastAsia="Times New Roman" w:cs="Times New Roman"/>
          <w:color w:val="000000"/>
          <w:sz w:val="28"/>
          <w:szCs w:val="28"/>
        </w:rPr>
        <w:t>.</w:t>
      </w:r>
    </w:p>
    <w:p w14:paraId="2C46F97F" w14:textId="4D30C9E5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1.2 Выполнение требований настоящих правил обязательны для всех участников</w:t>
      </w:r>
      <w:r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Чемпионата по профессиональному мастерству «Профессионалы» в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FE4868">
        <w:rPr>
          <w:rFonts w:eastAsia="Times New Roman" w:cs="Times New Roman"/>
          <w:color w:val="000000"/>
          <w:sz w:val="28"/>
          <w:szCs w:val="28"/>
        </w:rPr>
        <w:t>ИНТЕРНЕТ-МАРКЕТИНГ»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260509B7" w14:textId="0A0C1A51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3.1.</w:t>
      </w:r>
      <w:r w:rsidR="00B54B12">
        <w:rPr>
          <w:rFonts w:eastAsia="Times New Roman" w:cs="Times New Roman"/>
          <w:sz w:val="28"/>
          <w:szCs w:val="28"/>
        </w:rPr>
        <w:t>1</w:t>
      </w:r>
      <w:r>
        <w:rPr>
          <w:rFonts w:eastAsia="Times New Roman" w:cs="Times New Roman"/>
          <w:sz w:val="28"/>
          <w:szCs w:val="28"/>
        </w:rPr>
        <w:t xml:space="preserve">. Участники в возрасте от 14 до </w:t>
      </w:r>
      <w:r w:rsidR="00B54B12">
        <w:rPr>
          <w:rFonts w:eastAsia="Times New Roman" w:cs="Times New Roman"/>
          <w:sz w:val="28"/>
          <w:szCs w:val="28"/>
        </w:rPr>
        <w:t>18</w:t>
      </w:r>
      <w:r>
        <w:rPr>
          <w:rFonts w:eastAsia="Times New Roman" w:cs="Times New Roman"/>
          <w:sz w:val="28"/>
          <w:szCs w:val="28"/>
        </w:rPr>
        <w:t xml:space="preserve"> лет под непосредственным руководством Экспертов Компетенции «Интернет-маркетинг»:</w:t>
      </w:r>
    </w:p>
    <w:p w14:paraId="2A526C27" w14:textId="3CCDAB41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прошедшие инструктаж по охране труда по «Программе инструктажа по охране труда»;</w:t>
      </w:r>
    </w:p>
    <w:p w14:paraId="370BD043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ознакомленные с инструкцией по охране труда;</w:t>
      </w:r>
    </w:p>
    <w:p w14:paraId="5B4167BD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имеющие необходимые навыки по эксплуатации инструмента, приспособлений; </w:t>
      </w:r>
    </w:p>
    <w:p w14:paraId="7735AFD9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совместной работы на оборудовании;</w:t>
      </w:r>
    </w:p>
    <w:p w14:paraId="61A81124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не имеющие противопоказаний к выполнению конкурсных заданий по состоянию здоровья;</w:t>
      </w:r>
    </w:p>
    <w:p w14:paraId="07A66EEB" w14:textId="2D846B72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3.1.</w:t>
      </w:r>
      <w:r w:rsidR="00D85CE9">
        <w:rPr>
          <w:rFonts w:eastAsia="Times New Roman"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</w:rPr>
        <w:t xml:space="preserve">. Участники в возрасте старше 18 лет </w:t>
      </w:r>
      <w:r w:rsidR="00B54B12">
        <w:rPr>
          <w:rFonts w:eastAsia="Times New Roman" w:cs="Times New Roman"/>
          <w:sz w:val="28"/>
          <w:szCs w:val="28"/>
        </w:rPr>
        <w:t>к</w:t>
      </w:r>
      <w:r>
        <w:rPr>
          <w:rFonts w:eastAsia="Times New Roman" w:cs="Times New Roman"/>
          <w:sz w:val="28"/>
          <w:szCs w:val="28"/>
        </w:rPr>
        <w:t xml:space="preserve"> самостоятельному выполнению конкурсных заданий в Компетенции </w:t>
      </w:r>
    </w:p>
    <w:p w14:paraId="16F9E2DF" w14:textId="091481C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прошедшие инструктаж по охране труда по «Программе инструктажа по охране труда»;</w:t>
      </w:r>
    </w:p>
    <w:p w14:paraId="0B815304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ознакомленные с инструкцией по охране труда;</w:t>
      </w:r>
    </w:p>
    <w:p w14:paraId="7B5A774C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- имеющие необходимые навыки по эксплуатации инструмента, приспособлений совместной работы на оборудовании;</w:t>
      </w:r>
    </w:p>
    <w:p w14:paraId="589F9D50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не имеющие противопоказаний к выполнению конкурсных заданий по состоянию здоровья.</w:t>
      </w:r>
    </w:p>
    <w:p w14:paraId="7E62E5E4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 Участник Чемпионата обязан:</w:t>
      </w:r>
    </w:p>
    <w:p w14:paraId="331A683F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 Выполнять только ту работу, которая определена его ролью на Чемпионате.</w:t>
      </w:r>
    </w:p>
    <w:p w14:paraId="171DFBA7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 Правильно применять средства индивидуальной и коллективной защиты.</w:t>
      </w:r>
    </w:p>
    <w:p w14:paraId="744BE312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 Соблюдать требования охраны труда.</w:t>
      </w:r>
    </w:p>
    <w:p w14:paraId="1E532C97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 Немедленно извещать своего непосредственного или вышестоящего руководителя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77E26ADA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 Применять безопасные методы и приёмы выполнения работ и оказания первой помощи, инструктаж по охране труда.</w:t>
      </w:r>
    </w:p>
    <w:p w14:paraId="442A30C5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3.3 </w:t>
      </w:r>
      <w:r>
        <w:rPr>
          <w:rFonts w:eastAsia="Times New Roman" w:cs="Times New Roman"/>
          <w:sz w:val="28"/>
          <w:szCs w:val="28"/>
        </w:rPr>
        <w:t>При выполнении конкурсного задания на участника могут воздействовать следующие вредные и (или) опасные факторы:</w:t>
      </w:r>
    </w:p>
    <w:p w14:paraId="219DCDE9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Физические:</w:t>
      </w:r>
    </w:p>
    <w:p w14:paraId="3DF11D0A" w14:textId="77777777" w:rsidR="00FE4868" w:rsidRDefault="00FE4868" w:rsidP="00FE4868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режущие и колющие предметы;</w:t>
      </w:r>
    </w:p>
    <w:p w14:paraId="65F3E7B7" w14:textId="77777777" w:rsidR="00FE4868" w:rsidRDefault="00FE4868" w:rsidP="00FE4868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электрический ток;</w:t>
      </w:r>
    </w:p>
    <w:p w14:paraId="590D4493" w14:textId="77777777" w:rsidR="00FE4868" w:rsidRDefault="00FE4868" w:rsidP="00FE4868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повышенный шум;</w:t>
      </w:r>
    </w:p>
    <w:p w14:paraId="6D0CA739" w14:textId="77777777" w:rsidR="00FE4868" w:rsidRDefault="00FE4868" w:rsidP="00FE4868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недостаточность/яркость освещения;</w:t>
      </w:r>
    </w:p>
    <w:p w14:paraId="19781E29" w14:textId="77777777" w:rsidR="00FE4868" w:rsidRDefault="00FE4868" w:rsidP="00FE4868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повышенный уровень пульсации светового потока;</w:t>
      </w:r>
    </w:p>
    <w:p w14:paraId="3029C677" w14:textId="77777777" w:rsidR="00FE4868" w:rsidRDefault="00FE4868" w:rsidP="00FE4868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повышенное значение напряжения в электрической цепи, замыкание которой может произойти через тело человека;</w:t>
      </w:r>
    </w:p>
    <w:p w14:paraId="4DAF8637" w14:textId="77777777" w:rsidR="00FE4868" w:rsidRDefault="00FE4868" w:rsidP="00FE4868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повышенный или пониженный уровень освещенности;</w:t>
      </w:r>
    </w:p>
    <w:p w14:paraId="61BCD4A7" w14:textId="77777777" w:rsidR="00FE4868" w:rsidRDefault="00FE4868" w:rsidP="00FE4868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повышенный уровень прямой и отраженной яркости монитора;</w:t>
      </w:r>
    </w:p>
    <w:p w14:paraId="2437015B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Психологические:</w:t>
      </w:r>
    </w:p>
    <w:p w14:paraId="6D3BCF1B" w14:textId="77777777" w:rsidR="00FE4868" w:rsidRDefault="00FE4868" w:rsidP="00FE4868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чрезмерное напряжение внимания;</w:t>
      </w:r>
    </w:p>
    <w:p w14:paraId="2A8530DA" w14:textId="77777777" w:rsidR="00FE4868" w:rsidRDefault="00FE4868" w:rsidP="00FE4868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усиленная нагрузка на зрение;</w:t>
      </w:r>
    </w:p>
    <w:p w14:paraId="52AFE05A" w14:textId="77777777" w:rsidR="00FE4868" w:rsidRDefault="00FE4868" w:rsidP="00FE4868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повышенная ответственность.</w:t>
      </w:r>
    </w:p>
    <w:p w14:paraId="403ECFA3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3.4 </w:t>
      </w:r>
      <w:r>
        <w:rPr>
          <w:rFonts w:eastAsia="Times New Roman" w:cs="Times New Roman"/>
          <w:sz w:val="28"/>
          <w:szCs w:val="28"/>
        </w:rPr>
        <w:t>Во время выполнения конкурсного задания средства индивидуальной защиты не требуются. Одежда и обувь должны быть удобными, по сезону, не приносить дискомфорт.</w:t>
      </w:r>
    </w:p>
    <w:p w14:paraId="44B06C1E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3F3094D0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>
        <w:rPr>
          <w:rFonts w:eastAsia="Times New Roman" w:cs="Times New Roman"/>
          <w:sz w:val="28"/>
          <w:szCs w:val="28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>. Конкурсные работы должны проводиться в соответствии с технической документацией задания Чемпионата.</w:t>
      </w:r>
    </w:p>
    <w:p w14:paraId="45C9C834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>
        <w:rPr>
          <w:rFonts w:eastAsia="Times New Roman" w:cs="Times New Roman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конкурсного задания конкурсант должен знать: </w:t>
      </w:r>
    </w:p>
    <w:p w14:paraId="02B1A7CB" w14:textId="26FA4F71" w:rsidR="00FE4868" w:rsidRDefault="00FE4868" w:rsidP="00FE4868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правила работы за компьютером и </w:t>
      </w:r>
      <w:r w:rsidRPr="00FE4868">
        <w:rPr>
          <w:rFonts w:eastAsia="Times New Roman" w:cs="Times New Roman"/>
          <w:color w:val="000000"/>
          <w:sz w:val="28"/>
          <w:szCs w:val="28"/>
        </w:rPr>
        <w:t>санитарные правила (СП 2.2.3670-20), касающиеся организации рабочих мест и требований к помещениям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0F2E49B8" w14:textId="0E1CD204" w:rsidR="00FE4868" w:rsidRDefault="00FE4868" w:rsidP="00FE4868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инструкцию по оказанию первой помощи; уметь оказывать первую помощь пострадавшим. </w:t>
      </w:r>
    </w:p>
    <w:p w14:paraId="7DCEC399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>
        <w:rPr>
          <w:rFonts w:eastAsia="Times New Roman" w:cs="Times New Roman"/>
          <w:sz w:val="28"/>
          <w:szCs w:val="28"/>
        </w:rPr>
        <w:t>8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0032C7C9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>
        <w:rPr>
          <w:rFonts w:eastAsia="Times New Roman" w:cs="Times New Roman"/>
          <w:sz w:val="28"/>
          <w:szCs w:val="28"/>
        </w:rPr>
        <w:t>9</w:t>
      </w:r>
      <w:r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 необходимо прекратить работу, известить об этом непосредственного руководителя работ и обратиться в медицинское учреждение.</w:t>
      </w:r>
    </w:p>
    <w:p w14:paraId="37271F98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>
        <w:rPr>
          <w:rFonts w:eastAsia="Times New Roman" w:cs="Times New Roman"/>
          <w:sz w:val="28"/>
          <w:szCs w:val="28"/>
        </w:rPr>
        <w:t>0</w:t>
      </w:r>
      <w:r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72F3DF30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 w:colFirst="0" w:colLast="0"/>
      <w:bookmarkEnd w:id="5"/>
    </w:p>
    <w:p w14:paraId="10C61BEB" w14:textId="77777777" w:rsidR="00FE4868" w:rsidRDefault="00FE4868" w:rsidP="00FE486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1B29B401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4.1. Перед началом работы участники должны выполнить следующее:</w:t>
      </w:r>
    </w:p>
    <w:p w14:paraId="29EB5598" w14:textId="74E9FDC6" w:rsidR="00FE4868" w:rsidRDefault="00FE4868" w:rsidP="00FE4868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все участники должны ознакомиться с инструкцией по </w:t>
      </w:r>
      <w:r w:rsidR="009629FB">
        <w:rPr>
          <w:rFonts w:eastAsia="Times New Roman" w:cs="Times New Roman"/>
          <w:sz w:val="28"/>
          <w:szCs w:val="28"/>
        </w:rPr>
        <w:t>охране труда</w:t>
      </w:r>
      <w:r>
        <w:rPr>
          <w:rFonts w:eastAsia="Times New Roman" w:cs="Times New Roman"/>
          <w:sz w:val="28"/>
          <w:szCs w:val="28"/>
        </w:rPr>
        <w:t xml:space="preserve">, с планами эвакуации при возникновении пожара, местами расположения санитарно-бытовых помещений, медицинскими кабинетами, питьевой воды, </w:t>
      </w:r>
    </w:p>
    <w:p w14:paraId="11C9B914" w14:textId="09B4475A" w:rsidR="00FE4868" w:rsidRDefault="00FE4868" w:rsidP="00FE4868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</w:t>
      </w:r>
      <w:r>
        <w:rPr>
          <w:rFonts w:eastAsia="Times New Roman" w:cs="Times New Roman"/>
          <w:sz w:val="28"/>
          <w:szCs w:val="28"/>
        </w:rPr>
        <w:lastRenderedPageBreak/>
        <w:t xml:space="preserve">инструктажа по </w:t>
      </w:r>
      <w:r w:rsidR="003A5872">
        <w:rPr>
          <w:rFonts w:eastAsia="Times New Roman" w:cs="Times New Roman"/>
          <w:sz w:val="28"/>
          <w:szCs w:val="28"/>
        </w:rPr>
        <w:t>работе на</w:t>
      </w:r>
      <w:r>
        <w:rPr>
          <w:rFonts w:eastAsia="Times New Roman" w:cs="Times New Roman"/>
          <w:sz w:val="28"/>
          <w:szCs w:val="28"/>
        </w:rPr>
        <w:t xml:space="preserve"> оборудовании по форме, определенной Оргкомитетом. </w:t>
      </w:r>
    </w:p>
    <w:p w14:paraId="02CDFC33" w14:textId="77777777" w:rsidR="00FE4868" w:rsidRDefault="00FE4868" w:rsidP="00FE4868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Подготовить рабочее место:</w:t>
      </w:r>
    </w:p>
    <w:p w14:paraId="3350F264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разместить канцелярские принадлежности на рабочем столе;</w:t>
      </w:r>
    </w:p>
    <w:p w14:paraId="436FB335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проверить высоту стула и стола. </w:t>
      </w:r>
    </w:p>
    <w:p w14:paraId="2F3AD0AC" w14:textId="77777777" w:rsidR="00FE4868" w:rsidRDefault="00FE4868" w:rsidP="00FE4868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Подготовить оборудование, разрешенное к самостоятельной работе:</w:t>
      </w:r>
    </w:p>
    <w:p w14:paraId="7E6416D8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Компьютер в сборе (монитор, мышь, клавиатура) </w:t>
      </w:r>
    </w:p>
    <w:p w14:paraId="60CD5DCB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ноутбук проверить исправность оборудования и приспособлений:</w:t>
      </w:r>
    </w:p>
    <w:p w14:paraId="4194225E" w14:textId="77777777" w:rsidR="00FE4868" w:rsidRPr="00EA1CFA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A1CFA">
        <w:rPr>
          <w:rFonts w:eastAsia="Times New Roman" w:cs="Times New Roman"/>
          <w:sz w:val="28"/>
          <w:szCs w:val="28"/>
        </w:rPr>
        <w:t>- наличие защитных кожухов (в системном блоке);</w:t>
      </w:r>
    </w:p>
    <w:p w14:paraId="6AF74005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исправность работы мыши и клавиатуры;</w:t>
      </w:r>
    </w:p>
    <w:p w14:paraId="2A5FF1C9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исправность цветопередачи монитора;</w:t>
      </w:r>
    </w:p>
    <w:p w14:paraId="3DCB6A23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отсутствие розеток и/или иных проводов в зоне досягаемости;</w:t>
      </w:r>
    </w:p>
    <w:p w14:paraId="3FB38A72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скорость работы при полной загруженности ПК;</w:t>
      </w:r>
    </w:p>
    <w:p w14:paraId="65D30710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угол наклона экрана монитора, положения клавиатуры в целях исключения неудобных поз и длительных напряжений тела (монитор должен находиться на расстоянии не менее 50 см от глаз (оптимально 60-70 см);</w:t>
      </w:r>
    </w:p>
    <w:p w14:paraId="6BC2CDDF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следить за тем, чтобы вентиляционные отверстия устройств ничем не были закрыты.</w:t>
      </w:r>
    </w:p>
    <w:p w14:paraId="2B60D4C8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Принтер </w:t>
      </w:r>
    </w:p>
    <w:p w14:paraId="3CCFBE5E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проверить синхронность работы ПК и принтера;</w:t>
      </w:r>
    </w:p>
    <w:p w14:paraId="08C70175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совершить пробный запуск тестовой печати;</w:t>
      </w:r>
    </w:p>
    <w:p w14:paraId="558F88CB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проверить наличие тонера и бумаги</w:t>
      </w:r>
    </w:p>
    <w:p w14:paraId="7E7FC2C9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Электробезопасность</w:t>
      </w:r>
    </w:p>
    <w:p w14:paraId="0660A092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Используйте шнур питания, поставляемый с принтером.</w:t>
      </w:r>
    </w:p>
    <w:p w14:paraId="43FCA4C8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Подключайте шнур питания непосредственно к правильно заземленной розетке электропитания. </w:t>
      </w:r>
    </w:p>
    <w:p w14:paraId="4E4A58C8" w14:textId="08570585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Проверьте надежно</w:t>
      </w:r>
      <w:r w:rsidR="003A5872">
        <w:rPr>
          <w:rFonts w:eastAsia="Times New Roman" w:cs="Times New Roman"/>
          <w:sz w:val="28"/>
          <w:szCs w:val="28"/>
        </w:rPr>
        <w:t>сть подключения на обоих концах</w:t>
      </w:r>
      <w:r>
        <w:rPr>
          <w:rFonts w:eastAsia="Times New Roman" w:cs="Times New Roman"/>
          <w:sz w:val="28"/>
          <w:szCs w:val="28"/>
        </w:rPr>
        <w:t xml:space="preserve"> шнура. Если вы не знаете, заземлена ли розетка, попросите Эксперта проверить ее.</w:t>
      </w:r>
    </w:p>
    <w:p w14:paraId="153CDF7A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Не используйте переходник с заземлением для подключения принтера к розетке питания без контакта заземления.</w:t>
      </w:r>
    </w:p>
    <w:p w14:paraId="5B561799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Не используйте удлинитель или сетевой разветвитель.</w:t>
      </w:r>
    </w:p>
    <w:p w14:paraId="10D41EFA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Убедитесь, что принтер подключен к розетке, обеспечивающей соответствующее напряжение питания и мощность. В случае необходимости обсудите с экспертом режимы питания принтера.</w:t>
      </w:r>
    </w:p>
    <w:p w14:paraId="34B520DB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Не размещайте принтер в таком месте, где на шнур питания могут по неосторожности наступить.</w:t>
      </w:r>
    </w:p>
    <w:p w14:paraId="23BA48B4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3C83DE62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4.2. В день проведения конкурса, изучить содержание и порядок проведения </w:t>
      </w:r>
    </w:p>
    <w:p w14:paraId="29F729E6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0A0F1D4C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4.3. Ежедневно, перед началом выполнения конкурсного задания, в процессе подготовки рабочего места:</w:t>
      </w:r>
    </w:p>
    <w:p w14:paraId="00E39DB1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осмотреть и привести в порядок рабочее место;</w:t>
      </w:r>
    </w:p>
    <w:p w14:paraId="372541CE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убедиться в достаточности освещенности;</w:t>
      </w:r>
    </w:p>
    <w:p w14:paraId="2B5A3FA6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проверить (визуально) правильность подключения оборудования;</w:t>
      </w:r>
    </w:p>
    <w:p w14:paraId="40489101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руководителю для устранения неисправностей в целях исключения неудобных поз и длительных напряжений тела.</w:t>
      </w:r>
    </w:p>
    <w:p w14:paraId="3AEFBB11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4.4.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19E83DA4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4.5.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руководителю и до устранения неполадок к конкурсному заданию не приступать.</w:t>
      </w:r>
    </w:p>
    <w:p w14:paraId="7D917479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 w:colFirst="0" w:colLast="0"/>
      <w:bookmarkEnd w:id="6"/>
    </w:p>
    <w:p w14:paraId="502E3320" w14:textId="77777777" w:rsidR="00FE4868" w:rsidRDefault="00FE4868" w:rsidP="00FE486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работы</w:t>
      </w:r>
    </w:p>
    <w:p w14:paraId="176C457E" w14:textId="7C9D943A" w:rsidR="00FE4868" w:rsidRDefault="003A5872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5.1 </w:t>
      </w:r>
      <w:r>
        <w:rPr>
          <w:rFonts w:eastAsia="Times New Roman" w:cs="Times New Roman"/>
          <w:sz w:val="28"/>
          <w:szCs w:val="28"/>
        </w:rPr>
        <w:t>При</w:t>
      </w:r>
      <w:r w:rsidR="00FE4868">
        <w:rPr>
          <w:rFonts w:eastAsia="Times New Roman" w:cs="Times New Roman"/>
          <w:sz w:val="28"/>
          <w:szCs w:val="28"/>
        </w:rPr>
        <w:t xml:space="preserve"> выполнении конкурсных заданий участнику необходимо соблюдать </w:t>
      </w:r>
    </w:p>
    <w:p w14:paraId="2FB2B7B5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требования безопасности при использовании инструмента и оборудования:</w:t>
      </w:r>
    </w:p>
    <w:p w14:paraId="763E78C9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Компьютер в сборе (монитор, мышь, клавиатура) -ноутбук</w:t>
      </w:r>
    </w:p>
    <w:p w14:paraId="55ACB5A6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Во время работы:</w:t>
      </w:r>
    </w:p>
    <w:p w14:paraId="5DC17A3E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необходимо аккуратно обращаться с проводами;</w:t>
      </w:r>
    </w:p>
    <w:p w14:paraId="627B8DAA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запрещается работать с неисправным компьютером/ноутбуком;</w:t>
      </w:r>
    </w:p>
    <w:p w14:paraId="38F6973D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нельзя заниматься очисткой компьютера/ноутбука, когда он находится под напряжением;</w:t>
      </w:r>
    </w:p>
    <w:p w14:paraId="6714C8E3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недопустимо самостоятельно проводить ремонт ПК и оргтехники при отсутствии специальных навыков;</w:t>
      </w:r>
    </w:p>
    <w:p w14:paraId="236BA27B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нельзя располагать рядом с компьютером/ноутбуком жидкости, а также работать с мокрыми руками;</w:t>
      </w:r>
    </w:p>
    <w:p w14:paraId="7344FF61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14:paraId="39061D02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 w14:paraId="3A939770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запрещается прикасаться к задней панели персонального компьютера и другой оргтехники, монитора при включенном питании;</w:t>
      </w:r>
    </w:p>
    <w:p w14:paraId="4B2588FD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нельзя допускать попадание влаги на поверхность монитора, рабочую поверхность клавиатуры, дисководов, принтеров и других устройств;</w:t>
      </w:r>
    </w:p>
    <w:p w14:paraId="7A0541ED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нельзя производить самостоятельно вскрытие и ремонт оборудования;</w:t>
      </w:r>
    </w:p>
    <w:p w14:paraId="36BF1024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запрещается переключать разъемы интерфейсных кабелей периферийных устройств;</w:t>
      </w:r>
    </w:p>
    <w:p w14:paraId="5ADB1669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запрещается загромождение верхних панелей устройств бумагами и посторонними предметами;</w:t>
      </w:r>
    </w:p>
    <w:p w14:paraId="21F7921D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Принтер </w:t>
      </w:r>
    </w:p>
    <w:p w14:paraId="31AD1F74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Электробезопасность</w:t>
      </w:r>
    </w:p>
    <w:p w14:paraId="599C7277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Не кладите предметы на шнур питания.</w:t>
      </w:r>
    </w:p>
    <w:p w14:paraId="61E02A73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Не закрывайте вентиляционные отверстия. Эти отверстия предотвращают перегрев принтера.</w:t>
      </w:r>
    </w:p>
    <w:p w14:paraId="6FC97B34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Не допускайте попадания в принтер скобок и скрепок для бумаги.</w:t>
      </w:r>
    </w:p>
    <w:p w14:paraId="1F887CA5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Не вставляйте никаких предметов в щели и отверстия принтера. </w:t>
      </w:r>
    </w:p>
    <w:p w14:paraId="52227811" w14:textId="24F9A6CF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Контакт с высоким напряжением или короткое замыкание </w:t>
      </w:r>
      <w:r w:rsidR="00692728">
        <w:rPr>
          <w:rFonts w:eastAsia="Times New Roman" w:cs="Times New Roman"/>
          <w:sz w:val="28"/>
          <w:szCs w:val="28"/>
        </w:rPr>
        <w:t>могут привести</w:t>
      </w:r>
      <w:r>
        <w:rPr>
          <w:rFonts w:eastAsia="Times New Roman" w:cs="Times New Roman"/>
          <w:sz w:val="28"/>
          <w:szCs w:val="28"/>
        </w:rPr>
        <w:t xml:space="preserve"> к возгоранию или поражению электрическим током.</w:t>
      </w:r>
    </w:p>
    <w:p w14:paraId="091123A9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 случае возникновения необычного шума или запаха: </w:t>
      </w:r>
    </w:p>
    <w:p w14:paraId="0F6511E0" w14:textId="0D8A2DF1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Немедленно выключите принтер. Выньте вилку шнура питания из розетки.</w:t>
      </w:r>
    </w:p>
    <w:p w14:paraId="336B6EDB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Для устранения неполадок сообщите руководителю.</w:t>
      </w:r>
    </w:p>
    <w:p w14:paraId="3B888F0A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 выполнении конкурсных заданий и уборке рабочих мест:</w:t>
      </w:r>
    </w:p>
    <w:p w14:paraId="52FA3CBF" w14:textId="18812AA5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64F950EA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соблюдать настоящую инструкцию;</w:t>
      </w:r>
    </w:p>
    <w:p w14:paraId="228E0C92" w14:textId="2E4DAE72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соблюдать правила эксплуатации ПК и оргтехники, не подвергать их механическим ударам, не допускать падений;</w:t>
      </w:r>
    </w:p>
    <w:p w14:paraId="3E850EA3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поддерживать порядок и чистоту на рабочем месте;</w:t>
      </w:r>
    </w:p>
    <w:p w14:paraId="118F55A4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42D52090" w14:textId="6996E64E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5.2. При неисправности РК и оргтехники – прекратить выполнение </w:t>
      </w:r>
      <w:r w:rsidR="00692728">
        <w:rPr>
          <w:rFonts w:eastAsia="Times New Roman" w:cs="Times New Roman"/>
          <w:sz w:val="28"/>
          <w:szCs w:val="28"/>
        </w:rPr>
        <w:t>конкурсного задания</w:t>
      </w:r>
      <w:r>
        <w:rPr>
          <w:rFonts w:eastAsia="Times New Roman" w:cs="Times New Roman"/>
          <w:sz w:val="28"/>
          <w:szCs w:val="28"/>
        </w:rPr>
        <w:t xml:space="preserve"> и сообщить об этом руководителю работ.</w:t>
      </w:r>
    </w:p>
    <w:p w14:paraId="70C18840" w14:textId="77777777" w:rsidR="00692728" w:rsidRDefault="0069272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42B3F8CD" w14:textId="77777777" w:rsidR="00FE4868" w:rsidRPr="00692728" w:rsidRDefault="00FE4868" w:rsidP="00FE486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color w:val="000000"/>
          <w:sz w:val="28"/>
          <w:szCs w:val="28"/>
        </w:rPr>
      </w:pPr>
      <w:bookmarkStart w:id="7" w:name="_heading=h.1t3h5sf" w:colFirst="0" w:colLast="0"/>
      <w:bookmarkEnd w:id="7"/>
      <w:r w:rsidRPr="00692728">
        <w:rPr>
          <w:rFonts w:eastAsia="Cambria" w:cs="Times New Roman"/>
          <w:b/>
          <w:color w:val="000000"/>
          <w:sz w:val="28"/>
          <w:szCs w:val="28"/>
        </w:rPr>
        <w:t>6. Требования охраны в аварийных ситуациях</w:t>
      </w:r>
    </w:p>
    <w:p w14:paraId="0D5C9F9A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6.1.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руководителю работ. Выполнение конкурсного задания продолжить только после устранения возникшей неисправности.</w:t>
      </w:r>
    </w:p>
    <w:p w14:paraId="3563833B" w14:textId="4C63D14F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6.2. В случае возникновения у участника плохого самочувствия или </w:t>
      </w:r>
      <w:r w:rsidR="00692728">
        <w:rPr>
          <w:rFonts w:eastAsia="Times New Roman" w:cs="Times New Roman"/>
          <w:sz w:val="28"/>
          <w:szCs w:val="28"/>
        </w:rPr>
        <w:t>получения травмы</w:t>
      </w:r>
      <w:r>
        <w:rPr>
          <w:rFonts w:eastAsia="Times New Roman" w:cs="Times New Roman"/>
          <w:sz w:val="28"/>
          <w:szCs w:val="28"/>
        </w:rPr>
        <w:t xml:space="preserve"> сообщить об этом руководителю.</w:t>
      </w:r>
    </w:p>
    <w:p w14:paraId="45AE2F52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6.3. При поражении участника электрическим током немедленно отключить электросеть, оказать первую помощь (самопомощь) пострадавшему, сообщить руководителю, при необходимости обратиться к врачу.</w:t>
      </w:r>
    </w:p>
    <w:p w14:paraId="465A422B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6.4. При несчастном случае или внезапном заболевании необходимо в первую очередь отключить питание электрооборудования, сообщить о </w:t>
      </w:r>
      <w:r>
        <w:rPr>
          <w:rFonts w:eastAsia="Times New Roman" w:cs="Times New Roman"/>
          <w:sz w:val="28"/>
          <w:szCs w:val="28"/>
        </w:rPr>
        <w:lastRenderedPageBreak/>
        <w:t>случившемся руководителю, который должен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0FA93C3F" w14:textId="37B78AE0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6.5. При возникновении пожара необходимо немедленно известить руководителя работ. При последующем развитии событий следует </w:t>
      </w:r>
      <w:r w:rsidR="00692728">
        <w:rPr>
          <w:rFonts w:eastAsia="Times New Roman" w:cs="Times New Roman"/>
          <w:sz w:val="28"/>
          <w:szCs w:val="28"/>
        </w:rPr>
        <w:t>руководствоваться указаниями</w:t>
      </w:r>
      <w:r>
        <w:rPr>
          <w:rFonts w:eastAsia="Times New Roman" w:cs="Times New Roman"/>
          <w:sz w:val="28"/>
          <w:szCs w:val="28"/>
        </w:rPr>
        <w:t xml:space="preserve"> руководителя работ. Приложить усилия для исключения состояния страха и паники. При обнаружении очага возгорания на конкурсной площадке необходимо любым возможным способом постараться загасить пламя в «зародыше» с обязательным соблюдением мер личной безопасности. 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 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6A790172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6.6.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3F3953F9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4B94E0F5" w14:textId="77777777" w:rsidR="00692728" w:rsidRDefault="0069272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4EF103A6" w14:textId="77777777" w:rsidR="00FE4868" w:rsidRPr="00692728" w:rsidRDefault="00FE4868" w:rsidP="00FE486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8" w:name="_heading=h.4d34og8" w:colFirst="0" w:colLast="0"/>
      <w:bookmarkEnd w:id="8"/>
      <w:r w:rsidRPr="00692728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0F25C5C2" w14:textId="77777777" w:rsidR="00FE4868" w:rsidRPr="0069272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692728">
        <w:rPr>
          <w:rFonts w:eastAsia="Times New Roman" w:cs="Times New Roman"/>
          <w:color w:val="000000"/>
          <w:sz w:val="28"/>
          <w:szCs w:val="28"/>
        </w:rPr>
        <w:t xml:space="preserve">7.1 </w:t>
      </w:r>
      <w:r w:rsidRPr="00692728">
        <w:rPr>
          <w:rFonts w:eastAsia="Times New Roman" w:cs="Times New Roman"/>
          <w:sz w:val="28"/>
          <w:szCs w:val="28"/>
        </w:rPr>
        <w:t>После окончания работ каждый участник обязан:</w:t>
      </w:r>
    </w:p>
    <w:p w14:paraId="37205DC6" w14:textId="77777777" w:rsidR="00FE4868" w:rsidRDefault="00FE4868" w:rsidP="00FE4868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Привести в порядок рабочее место. </w:t>
      </w:r>
    </w:p>
    <w:p w14:paraId="6FBA348B" w14:textId="77777777" w:rsidR="00FE4868" w:rsidRDefault="00FE4868" w:rsidP="00FE4868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Отключить ПК и оргтехнику.</w:t>
      </w:r>
    </w:p>
    <w:p w14:paraId="74FA10D1" w14:textId="77777777" w:rsidR="00FE4868" w:rsidRDefault="00FE4868" w:rsidP="00FE4868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Сообщить руководителю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3864067B" w14:textId="77777777" w:rsidR="00FE4868" w:rsidRDefault="00FE4868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74103E89" w14:textId="77777777" w:rsidR="001A206B" w:rsidRDefault="001A206B" w:rsidP="00FE48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AE903" w14:textId="77777777" w:rsidR="000855DE" w:rsidRDefault="000855DE">
      <w:pPr>
        <w:spacing w:line="240" w:lineRule="auto"/>
      </w:pPr>
      <w:r>
        <w:separator/>
      </w:r>
    </w:p>
  </w:endnote>
  <w:endnote w:type="continuationSeparator" w:id="0">
    <w:p w14:paraId="7EE4F03E" w14:textId="77777777" w:rsidR="000855DE" w:rsidRDefault="00085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09E39B04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E601C7">
      <w:rPr>
        <w:rFonts w:ascii="Calibri" w:hAnsi="Calibri"/>
        <w:noProof/>
        <w:color w:val="000000"/>
        <w:sz w:val="22"/>
        <w:szCs w:val="22"/>
      </w:rPr>
      <w:t>11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8B0EC" w14:textId="77777777" w:rsidR="000855DE" w:rsidRDefault="000855DE">
      <w:pPr>
        <w:spacing w:line="240" w:lineRule="auto"/>
      </w:pPr>
      <w:r>
        <w:separator/>
      </w:r>
    </w:p>
  </w:footnote>
  <w:footnote w:type="continuationSeparator" w:id="0">
    <w:p w14:paraId="3FB312BB" w14:textId="77777777" w:rsidR="000855DE" w:rsidRDefault="000855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E8C47E4"/>
    <w:multiLevelType w:val="multilevel"/>
    <w:tmpl w:val="607CD3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01A6045"/>
    <w:multiLevelType w:val="multilevel"/>
    <w:tmpl w:val="E8A83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DB4337"/>
    <w:multiLevelType w:val="multilevel"/>
    <w:tmpl w:val="A3D80B4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1CB6A6B"/>
    <w:multiLevelType w:val="multilevel"/>
    <w:tmpl w:val="BE926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69647C4A"/>
    <w:multiLevelType w:val="multilevel"/>
    <w:tmpl w:val="CAA0D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70FE2279"/>
    <w:multiLevelType w:val="multilevel"/>
    <w:tmpl w:val="6DF617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13"/>
  </w:num>
  <w:num w:numId="12">
    <w:abstractNumId w:val="3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44379"/>
    <w:rsid w:val="00067573"/>
    <w:rsid w:val="000855DE"/>
    <w:rsid w:val="00195C80"/>
    <w:rsid w:val="001A206B"/>
    <w:rsid w:val="001E61F8"/>
    <w:rsid w:val="00281634"/>
    <w:rsid w:val="00304E6D"/>
    <w:rsid w:val="00325995"/>
    <w:rsid w:val="0036155E"/>
    <w:rsid w:val="003A5872"/>
    <w:rsid w:val="003D37FA"/>
    <w:rsid w:val="004014AA"/>
    <w:rsid w:val="00463C10"/>
    <w:rsid w:val="004C3BFC"/>
    <w:rsid w:val="004F59D9"/>
    <w:rsid w:val="00584FB3"/>
    <w:rsid w:val="00625F4F"/>
    <w:rsid w:val="00692728"/>
    <w:rsid w:val="00721165"/>
    <w:rsid w:val="008A0253"/>
    <w:rsid w:val="009269AB"/>
    <w:rsid w:val="00940A53"/>
    <w:rsid w:val="009629FB"/>
    <w:rsid w:val="00A52A90"/>
    <w:rsid w:val="00A7162A"/>
    <w:rsid w:val="00A74F0F"/>
    <w:rsid w:val="00A8114D"/>
    <w:rsid w:val="00A82400"/>
    <w:rsid w:val="00AD4DA9"/>
    <w:rsid w:val="00AF7070"/>
    <w:rsid w:val="00B366B4"/>
    <w:rsid w:val="00B54B12"/>
    <w:rsid w:val="00B92118"/>
    <w:rsid w:val="00BA7163"/>
    <w:rsid w:val="00C006B0"/>
    <w:rsid w:val="00C025DD"/>
    <w:rsid w:val="00C11EAE"/>
    <w:rsid w:val="00CB68C1"/>
    <w:rsid w:val="00CC1E22"/>
    <w:rsid w:val="00CE2B77"/>
    <w:rsid w:val="00D345B0"/>
    <w:rsid w:val="00D355E0"/>
    <w:rsid w:val="00D85CE9"/>
    <w:rsid w:val="00DC5416"/>
    <w:rsid w:val="00E4380E"/>
    <w:rsid w:val="00E601C7"/>
    <w:rsid w:val="00EA1CFA"/>
    <w:rsid w:val="00EB37B9"/>
    <w:rsid w:val="00F26301"/>
    <w:rsid w:val="00F66017"/>
    <w:rsid w:val="00F810FF"/>
    <w:rsid w:val="00F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NataSha</cp:lastModifiedBy>
  <cp:revision>2</cp:revision>
  <dcterms:created xsi:type="dcterms:W3CDTF">2026-02-02T08:30:00Z</dcterms:created>
  <dcterms:modified xsi:type="dcterms:W3CDTF">2026-02-02T08:30:00Z</dcterms:modified>
</cp:coreProperties>
</file>